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团体标准《细木工板》（征求意见稿）</w:t>
      </w: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编制说明</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一、项目来源</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根据《关于下达2022年第一批团体标准制修订项目计划的通知》（桂林产协﹝2022﹞13号）文件精神，由广西林业产业行业协会提出，广西壮象木业有限公司、广西壮象家居股份有限公司、广西南宁明源木业有限公司</w:t>
      </w:r>
      <w:bookmarkStart w:id="0" w:name="_GoBack"/>
      <w:bookmarkEnd w:id="0"/>
      <w:r>
        <w:rPr>
          <w:rFonts w:ascii="仿宋_GB2312" w:hAnsi="宋体" w:eastAsia="仿宋_GB2312"/>
          <w:sz w:val="32"/>
          <w:szCs w:val="28"/>
          <w:lang w:val="zh-CN"/>
        </w:rPr>
        <w:t>、</w:t>
      </w:r>
      <w:r>
        <w:rPr>
          <w:rFonts w:hint="eastAsia" w:ascii="仿宋_GB2312" w:hAnsi="宋体" w:eastAsia="仿宋_GB2312"/>
          <w:sz w:val="32"/>
          <w:szCs w:val="28"/>
          <w:lang w:val="zh-CN"/>
        </w:rPr>
        <w:t>广西林业产业行业协会、融安县</w:t>
      </w:r>
      <w:r>
        <w:rPr>
          <w:rFonts w:ascii="仿宋_GB2312" w:hAnsi="宋体" w:eastAsia="仿宋_GB2312"/>
          <w:sz w:val="32"/>
          <w:szCs w:val="28"/>
          <w:lang w:val="zh-CN"/>
        </w:rPr>
        <w:t>大森林木业有限公司、</w:t>
      </w:r>
      <w:r>
        <w:rPr>
          <w:rFonts w:hint="eastAsia" w:ascii="仿宋_GB2312" w:hAnsi="宋体" w:eastAsia="仿宋_GB2312"/>
          <w:sz w:val="32"/>
          <w:szCs w:val="28"/>
          <w:lang w:val="zh-CN"/>
        </w:rPr>
        <w:t>广西壮族自治区产品质量检验研究院、中国质量认证中心、中国检验认证集团广西有限公司、方圆标志认证集团共同起草的团体标准《细木工板》(项目编号：2022-</w:t>
      </w:r>
      <w:r>
        <w:rPr>
          <w:rFonts w:ascii="仿宋_GB2312" w:hAnsi="宋体" w:eastAsia="仿宋_GB2312"/>
          <w:sz w:val="32"/>
          <w:szCs w:val="28"/>
          <w:lang w:val="zh-CN"/>
        </w:rPr>
        <w:t>0101</w:t>
      </w:r>
      <w:r>
        <w:rPr>
          <w:rFonts w:hint="eastAsia" w:ascii="仿宋_GB2312" w:hAnsi="宋体" w:eastAsia="仿宋_GB2312"/>
          <w:sz w:val="32"/>
          <w:szCs w:val="28"/>
          <w:lang w:val="zh-CN"/>
        </w:rPr>
        <w:t>)已</w:t>
      </w:r>
      <w:r>
        <w:rPr>
          <w:rFonts w:ascii="仿宋_GB2312" w:hAnsi="宋体" w:eastAsia="仿宋_GB2312"/>
          <w:sz w:val="32"/>
          <w:szCs w:val="28"/>
          <w:lang w:val="zh-CN"/>
        </w:rPr>
        <w:t>获批立项</w:t>
      </w:r>
      <w:r>
        <w:rPr>
          <w:rFonts w:hint="eastAsia" w:ascii="仿宋_GB2312" w:hAnsi="宋体" w:eastAsia="仿宋_GB2312"/>
          <w:sz w:val="32"/>
          <w:szCs w:val="28"/>
          <w:lang w:val="zh-CN"/>
        </w:rPr>
        <w:t>。</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二、项目背景及目的意义</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rPr>
        <w:t>发</w:t>
      </w:r>
      <w:r>
        <w:rPr>
          <w:rFonts w:hint="eastAsia" w:ascii="仿宋_GB2312" w:hAnsi="宋体" w:eastAsia="仿宋_GB2312"/>
          <w:sz w:val="32"/>
          <w:szCs w:val="28"/>
          <w:lang w:val="zh-CN"/>
        </w:rPr>
        <w:t>展人造板产业，是贯彻落实习近平生态文明思想、践行绿水青山就是金山银山理念的重要举措，是全面推进乡村振兴、切实维护和巩固脱贫攻坚伟大成就的必然要求，是建立健全生态产业价值实现机制、推动形成具有中国特色生态文明建设新模式的关键路径。“十三五”时期，我国细木工板产业规模稳步增长，发展质量明显提高，市场主体持续壮大，富民成交日益显现，细木工板产业为全面建成小康社会、决战脱贫攻坚、建设美丽中国作出了重要贡献。广西林业产业行业协会围绕原料供应、生产加工、销售管理、研发创新、政策扶持等整个生产链条，从人才、智力、资本、政策支撑等方面共同探索新时期下细木工板产业的发展道路。</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细木工板产业在我国发展已有30多年的历史，“细木工板”国家行业标准,随着行业的发展，产品质量的提升，也经历了三次修订。目前全广西细木工板生产能力350万立方米每年，年销售收入约100亿左右。细木工板生产能力占全国细木工板总生产能力的15%，广西细木工板生产能力在全国保持排位第一。广西细木工板生产主要集中在柳州市、百色市、河池市等杉木主产区，全区拥有细木工板加工企业500多家，从业人员10万余人。2019年在广西林业产业行业协会的牵头下，由广西壮族自治区产品质量检验研究院、广西林业产业行业协会、中国质量认证中心、中国检验认证集团有限公司、方圆标志认证集团、广西壮象木业有限公司、广西南宁明源木业有限公司共同制定了团体标准T/GXLC 004-2019《细木工板》，该标准出台实施后成为全国细木工行业最为先进的团体标准，大力的推进了我区细木工板行业的发展。但是随着市场监管总局和国家标准委发布的标准公告（2021第3号），由全国人造板标准化技术委员会归口管理的GB/T 39600-2021《人造板及其制品甲醛释放量分级》和GB/T 39598-2021《基于极限甲醛量的人造板室内承载限量指南》正式发布，T/GXLC 004-2019《细木工板》无醛级别甲醛释放量指标已超出最新国标要求。</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细木工板市场在竞争的初期，只要能出产出质量较别人更好的细木工板就能在市场竞争中胜出。对于市场而言，细木工板品牌也成了消费者辨别商品的分辨器，甚至有些人不是在消费细木工板而是在消费细木工板品牌，这也是为什么细木工板品牌二字如此之热的原因之一。随着科技发展和新技术、新工艺、新设备的广泛应用，细木工板开始趋于“同质化”，市场竞争被推入“细木工板品牌时代”。从这个角度来讲细木工板厂家的竞争是细木工板品牌的竞争。广西从原材料省到“中国细木工板产业大省”，从林产产品的生产者到行业标准的制定者，再到如今产量和出口量占据全国市场份额约50%，广西细木工板产业从无到有，逐步形成了小产品、大市场、大产业的特色产业集群发展格局，成为带动地区经济发展的“金字招牌”，标准的重要性可见一斑。当前广西细木工板产品质量更好，在外观质量、使用强度、甲醛释放量等方面等具有较大优势，但当前我们的团体标准有部分指标已经低于国家标准，这不利于体现我区细木工产品的优越品质，产品只能作为普通产品进行售卖，使其经济效益大大降低，品牌知名度大打折扣。</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通过制定团体标准《细木工板》，以标准为抓手，统一规全区细木工板的尺寸及偏差、外观质量及甲醛释放量等级、理化性能等指标，为更好指导全区细木工板生产企业，带动当地经济的快速发展，确保好全区细木工板产业往规模化、规范化方向发展，为广西经济做贡献。</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三、标准编制过程</w:t>
      </w:r>
    </w:p>
    <w:p>
      <w:pPr>
        <w:spacing w:before="156" w:beforeLines="50" w:after="156" w:afterLines="50" w:line="560" w:lineRule="exact"/>
        <w:ind w:firstLine="643" w:firstLineChars="200"/>
        <w:rPr>
          <w:rFonts w:ascii="楷体" w:hAnsi="楷体" w:eastAsia="楷体"/>
          <w:b/>
          <w:sz w:val="32"/>
          <w:szCs w:val="32"/>
          <w:lang w:val="zh-CN"/>
        </w:rPr>
      </w:pPr>
      <w:r>
        <w:rPr>
          <w:rFonts w:hint="eastAsia" w:ascii="楷体" w:hAnsi="楷体" w:eastAsia="楷体"/>
          <w:b/>
          <w:sz w:val="32"/>
          <w:szCs w:val="32"/>
          <w:lang w:val="zh-CN"/>
        </w:rPr>
        <w:t>（一）成立标准编制工作组</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团体标准《细木工板》项目任务下达后，广西林业产业行业协会成立了标准编制工作组，制定了标准编写方案，明确任务职责，确定工作技术路线，开展标准研制工作，具体标准编制工作由广西壮象木业有限公司、广西壮象家居股份有限公司、广西南宁明源木业有限公司、广西</w:t>
      </w:r>
      <w:r>
        <w:rPr>
          <w:rFonts w:ascii="仿宋_GB2312" w:hAnsi="宋体" w:eastAsia="仿宋_GB2312"/>
          <w:sz w:val="32"/>
          <w:szCs w:val="28"/>
          <w:lang w:val="zh-CN"/>
        </w:rPr>
        <w:t>国旭春天人造板有限公司、</w:t>
      </w:r>
      <w:r>
        <w:rPr>
          <w:rFonts w:hint="eastAsia" w:ascii="仿宋_GB2312" w:hAnsi="宋体" w:eastAsia="仿宋_GB2312"/>
          <w:sz w:val="32"/>
          <w:szCs w:val="28"/>
          <w:lang w:val="zh-CN"/>
        </w:rPr>
        <w:t>广西</w:t>
      </w:r>
      <w:r>
        <w:rPr>
          <w:rFonts w:ascii="仿宋_GB2312" w:hAnsi="宋体" w:eastAsia="仿宋_GB2312"/>
          <w:sz w:val="32"/>
          <w:szCs w:val="28"/>
          <w:lang w:val="zh-CN"/>
        </w:rPr>
        <w:t>国旭</w:t>
      </w:r>
      <w:r>
        <w:rPr>
          <w:rFonts w:hint="eastAsia" w:ascii="仿宋_GB2312" w:hAnsi="宋体" w:eastAsia="仿宋_GB2312"/>
          <w:sz w:val="32"/>
          <w:szCs w:val="28"/>
          <w:lang w:val="zh-CN"/>
        </w:rPr>
        <w:t>桂润</w:t>
      </w:r>
      <w:r>
        <w:rPr>
          <w:rFonts w:ascii="仿宋_GB2312" w:hAnsi="宋体" w:eastAsia="仿宋_GB2312"/>
          <w:sz w:val="32"/>
          <w:szCs w:val="28"/>
          <w:lang w:val="zh-CN"/>
        </w:rPr>
        <w:t>人造板有限公司、</w:t>
      </w:r>
      <w:r>
        <w:rPr>
          <w:rFonts w:hint="eastAsia" w:ascii="仿宋_GB2312" w:hAnsi="宋体" w:eastAsia="仿宋_GB2312"/>
          <w:sz w:val="32"/>
          <w:szCs w:val="28"/>
          <w:lang w:val="zh-CN"/>
        </w:rPr>
        <w:t>广西林业产业行业协会、融安县</w:t>
      </w:r>
      <w:r>
        <w:rPr>
          <w:rFonts w:ascii="仿宋_GB2312" w:hAnsi="宋体" w:eastAsia="仿宋_GB2312"/>
          <w:sz w:val="32"/>
          <w:szCs w:val="28"/>
          <w:lang w:val="zh-CN"/>
        </w:rPr>
        <w:t>大森林木业有限公司、</w:t>
      </w:r>
      <w:r>
        <w:rPr>
          <w:rFonts w:hint="eastAsia" w:ascii="仿宋_GB2312" w:hAnsi="宋体" w:eastAsia="仿宋_GB2312"/>
          <w:sz w:val="32"/>
          <w:szCs w:val="28"/>
          <w:lang w:val="zh-CN"/>
        </w:rPr>
        <w:t>广西壮族自治区产品质量检验研究院、中国质量认证中心、中国检验认证集团广西有限公司、方圆标志认证集团相关人员配合。</w:t>
      </w:r>
    </w:p>
    <w:p>
      <w:pPr>
        <w:spacing w:before="156" w:beforeLines="50" w:after="156" w:afterLines="50" w:line="560" w:lineRule="exact"/>
        <w:ind w:firstLine="643" w:firstLineChars="200"/>
        <w:rPr>
          <w:rFonts w:ascii="楷体" w:hAnsi="楷体" w:eastAsia="楷体"/>
          <w:b/>
          <w:sz w:val="32"/>
          <w:szCs w:val="32"/>
          <w:lang w:val="zh-CN"/>
        </w:rPr>
      </w:pPr>
      <w:r>
        <w:rPr>
          <w:rFonts w:hint="eastAsia" w:ascii="楷体" w:hAnsi="楷体" w:eastAsia="楷体"/>
          <w:b/>
          <w:sz w:val="32"/>
          <w:szCs w:val="32"/>
          <w:lang w:val="zh-CN"/>
        </w:rPr>
        <w:t>（二）收集整理文献资料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目前国内关于细木工板的相关国家标准、行业标准、地方标准具体列出如下：</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GB/T 34722-2017《浸渍胶膜纸饰面胶合板和细木工板》</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GB/T 39600-2021《人造板及其制品甲醛释放量分级》</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GB/T 39598-2021《基于极限甲醛量的人造板室内承载限量指南》</w:t>
      </w:r>
    </w:p>
    <w:p>
      <w:pPr>
        <w:spacing w:before="156" w:beforeLines="50" w:after="156" w:afterLines="50" w:line="560" w:lineRule="exact"/>
        <w:ind w:firstLine="643" w:firstLineChars="200"/>
        <w:rPr>
          <w:rFonts w:ascii="楷体" w:hAnsi="楷体" w:eastAsia="楷体"/>
          <w:b/>
          <w:sz w:val="32"/>
          <w:szCs w:val="32"/>
          <w:lang w:val="zh-CN"/>
        </w:rPr>
      </w:pPr>
      <w:r>
        <w:rPr>
          <w:rFonts w:hint="eastAsia" w:ascii="楷体" w:hAnsi="楷体" w:eastAsia="楷体"/>
          <w:b/>
          <w:sz w:val="32"/>
          <w:szCs w:val="32"/>
          <w:lang w:val="zh-CN"/>
        </w:rPr>
        <w:t>（三）研讨确定标准主体内容</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标准编制工作组在对收集的资料进行整理研究后，标准编制工作组召开了标准编制会议，对标准的整体框架进行了研究，并对标准的关键性问题进行了初步探讨。经过研究，标准的主体内容包括术语和定义、</w:t>
      </w:r>
      <w:r>
        <w:rPr>
          <w:rFonts w:hint="eastAsia" w:ascii="仿宋_GB2312" w:hAnsi="宋体" w:eastAsia="仿宋_GB2312"/>
          <w:sz w:val="32"/>
          <w:szCs w:val="28"/>
        </w:rPr>
        <w:t>分类和命名</w:t>
      </w:r>
      <w:r>
        <w:rPr>
          <w:rFonts w:hint="eastAsia" w:ascii="仿宋_GB2312" w:hAnsi="宋体" w:eastAsia="仿宋_GB2312"/>
          <w:sz w:val="32"/>
          <w:szCs w:val="28"/>
          <w:lang w:val="zh-CN"/>
        </w:rPr>
        <w:t>、</w:t>
      </w:r>
      <w:r>
        <w:rPr>
          <w:rFonts w:hint="eastAsia" w:ascii="仿宋_GB2312" w:hAnsi="宋体" w:eastAsia="仿宋_GB2312"/>
          <w:sz w:val="32"/>
          <w:szCs w:val="28"/>
        </w:rPr>
        <w:t>组坯指南</w:t>
      </w:r>
      <w:r>
        <w:rPr>
          <w:rFonts w:hint="eastAsia" w:ascii="仿宋_GB2312" w:hAnsi="宋体" w:eastAsia="仿宋_GB2312"/>
          <w:sz w:val="32"/>
          <w:szCs w:val="28"/>
          <w:lang w:val="zh-CN"/>
        </w:rPr>
        <w:t>、</w:t>
      </w:r>
      <w:r>
        <w:rPr>
          <w:rFonts w:hint="eastAsia" w:ascii="仿宋_GB2312" w:hAnsi="宋体" w:eastAsia="仿宋_GB2312"/>
          <w:sz w:val="32"/>
          <w:szCs w:val="28"/>
        </w:rPr>
        <w:t>技术要求、试件取样及尺寸规定、试验</w:t>
      </w:r>
      <w:r>
        <w:rPr>
          <w:rFonts w:ascii="仿宋_GB2312" w:hAnsi="宋体" w:eastAsia="仿宋_GB2312"/>
          <w:sz w:val="32"/>
          <w:szCs w:val="28"/>
        </w:rPr>
        <w:t>方法、</w:t>
      </w:r>
      <w:r>
        <w:rPr>
          <w:rFonts w:hint="eastAsia" w:ascii="仿宋_GB2312" w:hAnsi="宋体" w:eastAsia="仿宋_GB2312"/>
          <w:sz w:val="32"/>
          <w:szCs w:val="28"/>
        </w:rPr>
        <w:t>检验规则及标志、标签、包装、运输和贮存</w:t>
      </w:r>
      <w:r>
        <w:rPr>
          <w:rFonts w:hint="eastAsia" w:ascii="仿宋_GB2312" w:hAnsi="宋体" w:eastAsia="仿宋_GB2312"/>
          <w:sz w:val="32"/>
          <w:szCs w:val="28"/>
          <w:lang w:val="zh-CN"/>
        </w:rPr>
        <w:t>。</w:t>
      </w:r>
    </w:p>
    <w:p>
      <w:pPr>
        <w:spacing w:before="156" w:beforeLines="50" w:after="156" w:afterLines="50" w:line="560" w:lineRule="exact"/>
        <w:ind w:firstLine="643" w:firstLineChars="200"/>
        <w:rPr>
          <w:rFonts w:ascii="楷体" w:hAnsi="楷体" w:eastAsia="楷体"/>
          <w:b/>
          <w:sz w:val="32"/>
          <w:szCs w:val="32"/>
          <w:lang w:val="zh-CN"/>
        </w:rPr>
      </w:pPr>
      <w:r>
        <w:rPr>
          <w:rFonts w:hint="eastAsia" w:ascii="楷体" w:hAnsi="楷体" w:eastAsia="楷体"/>
          <w:b/>
          <w:sz w:val="32"/>
          <w:szCs w:val="32"/>
          <w:lang w:val="zh-CN"/>
        </w:rPr>
        <w:t>（四）调研</w:t>
      </w:r>
      <w:r>
        <w:rPr>
          <w:rFonts w:ascii="楷体" w:hAnsi="楷体" w:eastAsia="楷体"/>
          <w:b/>
          <w:sz w:val="32"/>
          <w:szCs w:val="32"/>
          <w:lang w:val="zh-CN"/>
        </w:rPr>
        <w:t>、</w:t>
      </w:r>
      <w:r>
        <w:rPr>
          <w:rFonts w:hint="eastAsia" w:ascii="楷体" w:hAnsi="楷体" w:eastAsia="楷体"/>
          <w:b/>
          <w:sz w:val="32"/>
          <w:szCs w:val="32"/>
          <w:lang w:val="zh-CN"/>
        </w:rPr>
        <w:t>形成文本草案、征求意见稿</w:t>
      </w:r>
    </w:p>
    <w:p>
      <w:pPr>
        <w:spacing w:line="560" w:lineRule="exact"/>
        <w:ind w:firstLine="640" w:firstLineChars="200"/>
        <w:rPr>
          <w:rFonts w:ascii="仿宋_GB2312" w:hAnsi="宋体" w:eastAsia="仿宋_GB2312"/>
          <w:sz w:val="32"/>
          <w:szCs w:val="28"/>
          <w:highlight w:val="yellow"/>
          <w:lang w:val="zh-CN"/>
        </w:rPr>
      </w:pPr>
      <w:r>
        <w:rPr>
          <w:rFonts w:hint="eastAsia" w:ascii="仿宋_GB2312" w:hAnsi="宋体" w:eastAsia="仿宋_GB2312"/>
          <w:sz w:val="32"/>
          <w:szCs w:val="28"/>
          <w:lang w:val="zh-CN"/>
        </w:rPr>
        <w:t>202</w:t>
      </w:r>
      <w:r>
        <w:rPr>
          <w:rFonts w:ascii="仿宋_GB2312" w:hAnsi="宋体" w:eastAsia="仿宋_GB2312"/>
          <w:sz w:val="32"/>
          <w:szCs w:val="28"/>
          <w:lang w:val="zh-CN"/>
        </w:rPr>
        <w:t>2</w:t>
      </w:r>
      <w:r>
        <w:rPr>
          <w:rFonts w:hint="eastAsia" w:ascii="仿宋_GB2312" w:hAnsi="宋体" w:eastAsia="仿宋_GB2312"/>
          <w:sz w:val="32"/>
          <w:szCs w:val="28"/>
          <w:lang w:val="zh-CN"/>
        </w:rPr>
        <w:t>年4月，标准起草工作小组进行了广泛实地调研工作，查阅了大量的国内外文献资料，对细木工板行业的生产、</w:t>
      </w:r>
      <w:r>
        <w:rPr>
          <w:rFonts w:ascii="仿宋_GB2312" w:hAnsi="宋体" w:eastAsia="仿宋_GB2312"/>
          <w:sz w:val="32"/>
          <w:szCs w:val="28"/>
          <w:lang w:val="zh-CN"/>
        </w:rPr>
        <w:t>检验等</w:t>
      </w:r>
      <w:r>
        <w:rPr>
          <w:rFonts w:hint="eastAsia" w:ascii="仿宋_GB2312" w:hAnsi="宋体" w:eastAsia="仿宋_GB2312"/>
          <w:sz w:val="32"/>
          <w:szCs w:val="28"/>
          <w:lang w:val="zh-CN"/>
        </w:rPr>
        <w:t>指标进行系统总结。经编制组反复讨论，形成了标准的基本构架，对主要内容进行了讨论并对项目的工作进行了部署和安排。在前期工作的基础之上，通过理清逻辑脉络，整合已有的参考资料中有关细木工板编制内容，并结合广西细木工板行业产品等级</w:t>
      </w:r>
      <w:r>
        <w:rPr>
          <w:rFonts w:ascii="仿宋_GB2312" w:hAnsi="宋体" w:eastAsia="仿宋_GB2312"/>
          <w:sz w:val="32"/>
          <w:szCs w:val="28"/>
          <w:lang w:val="zh-CN"/>
        </w:rPr>
        <w:t>分类</w:t>
      </w:r>
      <w:r>
        <w:rPr>
          <w:rFonts w:hint="eastAsia" w:ascii="仿宋_GB2312" w:hAnsi="宋体" w:eastAsia="仿宋_GB2312"/>
          <w:sz w:val="32"/>
          <w:szCs w:val="28"/>
          <w:lang w:val="zh-CN"/>
        </w:rPr>
        <w:t>实际要求的基础上，按照简化、统一等原则编制完成团体标准《细木工板》（修订草案）。</w:t>
      </w:r>
    </w:p>
    <w:p>
      <w:pPr>
        <w:spacing w:line="56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202</w:t>
      </w:r>
      <w:r>
        <w:rPr>
          <w:rFonts w:ascii="仿宋_GB2312" w:hAnsi="宋体" w:eastAsia="仿宋_GB2312"/>
          <w:sz w:val="32"/>
          <w:szCs w:val="28"/>
          <w:lang w:val="zh-CN"/>
        </w:rPr>
        <w:t>2</w:t>
      </w:r>
      <w:r>
        <w:rPr>
          <w:rFonts w:hint="eastAsia" w:ascii="仿宋_GB2312" w:hAnsi="宋体" w:eastAsia="仿宋_GB2312"/>
          <w:sz w:val="32"/>
          <w:szCs w:val="28"/>
          <w:lang w:val="zh-CN"/>
        </w:rPr>
        <w:t>年5～9月，编制组进行反复讨论修改，并向广西壮族自治区产品质量检验研究院、广西林业产业行业协会征求技术意见。针对细木工板行业</w:t>
      </w:r>
      <w:r>
        <w:rPr>
          <w:rFonts w:ascii="仿宋_GB2312" w:hAnsi="宋体" w:eastAsia="仿宋_GB2312"/>
          <w:sz w:val="32"/>
          <w:szCs w:val="28"/>
          <w:lang w:val="zh-CN"/>
        </w:rPr>
        <w:t>的产品</w:t>
      </w:r>
      <w:r>
        <w:rPr>
          <w:rFonts w:hint="eastAsia" w:ascii="仿宋_GB2312" w:hAnsi="宋体" w:eastAsia="仿宋_GB2312"/>
          <w:sz w:val="32"/>
          <w:szCs w:val="28"/>
          <w:lang w:val="zh-CN"/>
        </w:rPr>
        <w:t>检验</w:t>
      </w:r>
      <w:r>
        <w:rPr>
          <w:rFonts w:ascii="仿宋_GB2312" w:hAnsi="宋体" w:eastAsia="仿宋_GB2312"/>
          <w:sz w:val="32"/>
          <w:szCs w:val="28"/>
          <w:lang w:val="zh-CN"/>
        </w:rPr>
        <w:t>质量</w:t>
      </w:r>
      <w:r>
        <w:rPr>
          <w:rFonts w:hint="eastAsia" w:ascii="仿宋_GB2312" w:hAnsi="宋体" w:eastAsia="仿宋_GB2312"/>
          <w:sz w:val="32"/>
          <w:szCs w:val="28"/>
          <w:lang w:val="zh-CN"/>
        </w:rPr>
        <w:t>进行研究，并取得阶段性进展。根据反馈意见及实践成果，标准编制工作组多次召开会议，对标准草案进行反复修改和研究讨论，形成团体标准《细木工板》（征求意见稿）和（征求意见稿）编制说明。</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四、标准制定原则</w:t>
      </w:r>
    </w:p>
    <w:p>
      <w:pPr>
        <w:ind w:firstLine="643" w:firstLineChars="200"/>
        <w:rPr>
          <w:rFonts w:ascii="楷体" w:hAnsi="楷体" w:eastAsia="楷体"/>
          <w:b/>
          <w:sz w:val="32"/>
          <w:szCs w:val="32"/>
          <w:lang w:val="zh-CN"/>
        </w:rPr>
      </w:pPr>
      <w:r>
        <w:rPr>
          <w:rFonts w:hint="eastAsia" w:ascii="楷体" w:hAnsi="楷体" w:eastAsia="楷体"/>
          <w:b/>
          <w:sz w:val="32"/>
          <w:szCs w:val="32"/>
          <w:lang w:val="zh-CN"/>
        </w:rPr>
        <w:t>（一）实用性原则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本文件是在充分收集相关资料和文献，分析细木工板行业当前状况，在现有国家、行业标准相关细木工板要求的基础上，结合多年实际生产</w:t>
      </w:r>
      <w:r>
        <w:rPr>
          <w:rFonts w:ascii="仿宋_GB2312" w:hAnsi="宋体" w:eastAsia="仿宋_GB2312"/>
          <w:sz w:val="32"/>
          <w:szCs w:val="28"/>
          <w:lang w:val="zh-CN"/>
        </w:rPr>
        <w:t>情况</w:t>
      </w:r>
      <w:r>
        <w:rPr>
          <w:rFonts w:hint="eastAsia" w:ascii="仿宋_GB2312" w:hAnsi="宋体" w:eastAsia="仿宋_GB2312"/>
          <w:sz w:val="32"/>
          <w:szCs w:val="28"/>
          <w:lang w:val="zh-CN"/>
        </w:rPr>
        <w:t>总结起草的。符合当前广西细木工板行业发展</w:t>
      </w:r>
      <w:r>
        <w:rPr>
          <w:rFonts w:ascii="仿宋_GB2312" w:hAnsi="宋体" w:eastAsia="仿宋_GB2312"/>
          <w:sz w:val="32"/>
          <w:szCs w:val="28"/>
          <w:lang w:val="zh-CN"/>
        </w:rPr>
        <w:t>需求</w:t>
      </w:r>
      <w:r>
        <w:rPr>
          <w:rFonts w:hint="eastAsia" w:ascii="仿宋_GB2312" w:hAnsi="宋体" w:eastAsia="仿宋_GB2312"/>
          <w:sz w:val="32"/>
          <w:szCs w:val="28"/>
          <w:lang w:val="zh-CN"/>
        </w:rPr>
        <w:t>，有利于行业的长远发展，具有较强的实用性和可操作性。</w:t>
      </w:r>
    </w:p>
    <w:p>
      <w:pPr>
        <w:ind w:firstLine="643" w:firstLineChars="200"/>
        <w:rPr>
          <w:rFonts w:ascii="楷体" w:hAnsi="楷体" w:eastAsia="楷体"/>
          <w:b/>
          <w:sz w:val="32"/>
          <w:szCs w:val="32"/>
          <w:lang w:val="zh-CN"/>
        </w:rPr>
      </w:pPr>
      <w:r>
        <w:rPr>
          <w:rFonts w:hint="eastAsia" w:ascii="楷体" w:hAnsi="楷体" w:eastAsia="楷体"/>
          <w:b/>
          <w:sz w:val="32"/>
          <w:szCs w:val="32"/>
          <w:lang w:val="zh-CN"/>
        </w:rPr>
        <w:t>（二）协调性原则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本文件编写过程中注意了与广西细木工板行业相关法律法规的协调问题，在内容上与现行法律法规、标准协调一致。</w:t>
      </w:r>
    </w:p>
    <w:p>
      <w:pPr>
        <w:ind w:firstLine="643" w:firstLineChars="200"/>
        <w:rPr>
          <w:rFonts w:ascii="楷体" w:hAnsi="楷体" w:eastAsia="楷体"/>
          <w:b/>
          <w:sz w:val="32"/>
          <w:szCs w:val="32"/>
          <w:lang w:val="zh-CN"/>
        </w:rPr>
      </w:pPr>
      <w:r>
        <w:rPr>
          <w:rFonts w:hint="eastAsia" w:ascii="楷体" w:hAnsi="楷体" w:eastAsia="楷体"/>
          <w:b/>
          <w:sz w:val="32"/>
          <w:szCs w:val="32"/>
          <w:lang w:val="zh-CN"/>
        </w:rPr>
        <w:t>（三）规范性原则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本文件严格按照GB/T 1.1—2020《标准化工作导则 第1部分：标准的结构和编写》的要求和规定编写本标准的内容，保证标准的编写质量。</w:t>
      </w:r>
    </w:p>
    <w:p>
      <w:pPr>
        <w:ind w:firstLine="643" w:firstLineChars="200"/>
        <w:rPr>
          <w:rFonts w:ascii="楷体" w:hAnsi="楷体" w:eastAsia="楷体"/>
          <w:b/>
          <w:sz w:val="32"/>
          <w:szCs w:val="32"/>
          <w:lang w:val="zh-CN"/>
        </w:rPr>
      </w:pPr>
      <w:r>
        <w:rPr>
          <w:rFonts w:hint="eastAsia" w:ascii="楷体" w:hAnsi="楷体" w:eastAsia="楷体"/>
          <w:b/>
          <w:sz w:val="32"/>
          <w:szCs w:val="32"/>
          <w:lang w:val="zh-CN"/>
        </w:rPr>
        <w:t>（四）前瞻性原则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本文件根据当前广西细木工板行业的团体标准有部分指标已经低于国家标准，不利于</w:t>
      </w:r>
      <w:r>
        <w:rPr>
          <w:rFonts w:ascii="仿宋_GB2312" w:hAnsi="宋体" w:eastAsia="仿宋_GB2312"/>
          <w:sz w:val="32"/>
          <w:szCs w:val="28"/>
          <w:lang w:val="zh-CN"/>
        </w:rPr>
        <w:t>行业的发展</w:t>
      </w:r>
      <w:r>
        <w:rPr>
          <w:rFonts w:hint="eastAsia" w:ascii="仿宋_GB2312" w:hAnsi="宋体" w:eastAsia="仿宋_GB2312"/>
          <w:sz w:val="32"/>
          <w:szCs w:val="28"/>
          <w:lang w:val="zh-CN"/>
        </w:rPr>
        <w:t>，同时考虑我区细木工板产品的优越品质和</w:t>
      </w:r>
      <w:r>
        <w:rPr>
          <w:rFonts w:ascii="仿宋_GB2312" w:hAnsi="宋体" w:eastAsia="仿宋_GB2312"/>
          <w:sz w:val="32"/>
          <w:szCs w:val="28"/>
          <w:lang w:val="zh-CN"/>
        </w:rPr>
        <w:t>独特优势</w:t>
      </w:r>
      <w:r>
        <w:rPr>
          <w:rFonts w:hint="eastAsia" w:ascii="仿宋_GB2312" w:hAnsi="宋体" w:eastAsia="仿宋_GB2312"/>
          <w:sz w:val="32"/>
          <w:szCs w:val="28"/>
          <w:lang w:val="zh-CN"/>
        </w:rPr>
        <w:t>，在标准中体现了个别特色性、前瞻性和先进性条款，作为对广西细木工板行业更好</w:t>
      </w:r>
      <w:r>
        <w:rPr>
          <w:rFonts w:ascii="仿宋_GB2312" w:hAnsi="宋体" w:eastAsia="仿宋_GB2312"/>
          <w:sz w:val="32"/>
          <w:szCs w:val="28"/>
          <w:lang w:val="zh-CN"/>
        </w:rPr>
        <w:t>发展</w:t>
      </w:r>
      <w:r>
        <w:rPr>
          <w:rFonts w:hint="eastAsia" w:ascii="仿宋_GB2312" w:hAnsi="宋体" w:eastAsia="仿宋_GB2312"/>
          <w:sz w:val="32"/>
          <w:szCs w:val="28"/>
          <w:lang w:val="zh-CN"/>
        </w:rPr>
        <w:t>的指导。</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五、标准主要章节内容及确定依据</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团体标准《细木工板》主要内容包括术语和定义、分类和命名、组坯指南、技术要求、试件取样及尺寸规定、试验方法、检验规则及标志、标签、包装、运输和贮存。</w:t>
      </w:r>
    </w:p>
    <w:p>
      <w:pPr>
        <w:spacing w:before="156" w:beforeLines="50" w:after="156" w:afterLines="50" w:line="560" w:lineRule="exact"/>
        <w:ind w:firstLine="643" w:firstLineChars="200"/>
        <w:rPr>
          <w:rFonts w:ascii="楷体" w:hAnsi="楷体" w:eastAsia="楷体"/>
          <w:b/>
          <w:sz w:val="32"/>
          <w:szCs w:val="32"/>
          <w:lang w:val="zh-CN"/>
        </w:rPr>
      </w:pPr>
      <w:r>
        <w:rPr>
          <w:rFonts w:hint="eastAsia" w:ascii="楷体" w:hAnsi="楷体" w:eastAsia="楷体"/>
          <w:b/>
          <w:sz w:val="32"/>
          <w:szCs w:val="32"/>
          <w:lang w:val="zh-CN"/>
        </w:rPr>
        <w:t>（一）术语和定义</w:t>
      </w:r>
    </w:p>
    <w:p>
      <w:pPr>
        <w:pStyle w:val="35"/>
        <w:numPr>
          <w:ilvl w:val="0"/>
          <w:numId w:val="0"/>
        </w:numPr>
        <w:spacing w:line="560" w:lineRule="exact"/>
        <w:ind w:firstLine="640" w:firstLineChars="200"/>
        <w:rPr>
          <w:rFonts w:ascii="仿宋_GB2312" w:hAnsi="宋体" w:eastAsia="仿宋_GB2312"/>
          <w:kern w:val="2"/>
          <w:sz w:val="32"/>
          <w:szCs w:val="28"/>
          <w:lang w:val="zh-CN"/>
        </w:rPr>
      </w:pPr>
      <w:r>
        <w:rPr>
          <w:rFonts w:hint="eastAsia" w:ascii="仿宋_GB2312" w:hAnsi="宋体" w:eastAsia="仿宋_GB2312"/>
          <w:kern w:val="2"/>
          <w:sz w:val="32"/>
          <w:szCs w:val="28"/>
          <w:lang w:val="zh-CN"/>
        </w:rPr>
        <w:t>为了不断满足市场对低甲醛释放人造板的需求，相关部门和企业相继出台了T/CNFPIA 1001-2016《人造板甲醛释放限量》、T/CNFPIA 3002-2018《无醛人造板及其制品》等相关团体标准，分别规定了人造板甲醛释放限量E</w:t>
      </w:r>
      <w:r>
        <w:rPr>
          <w:rFonts w:hint="eastAsia" w:ascii="仿宋_GB2312" w:hAnsi="宋体" w:eastAsia="仿宋_GB2312"/>
          <w:kern w:val="2"/>
          <w:sz w:val="32"/>
          <w:szCs w:val="28"/>
          <w:vertAlign w:val="subscript"/>
          <w:lang w:val="zh-CN"/>
        </w:rPr>
        <w:t>0</w:t>
      </w:r>
      <w:r>
        <w:rPr>
          <w:rFonts w:hint="eastAsia" w:ascii="仿宋_GB2312" w:hAnsi="宋体" w:eastAsia="仿宋_GB2312"/>
          <w:kern w:val="2"/>
          <w:sz w:val="32"/>
          <w:szCs w:val="28"/>
          <w:lang w:val="zh-CN"/>
        </w:rPr>
        <w:t>级和无醛人造板的技术要求。本标准主要依据T/CNFPIA 3002-2018《无醛人造板及其制品》确定无醛板和E</w:t>
      </w:r>
      <w:r>
        <w:rPr>
          <w:rFonts w:hint="eastAsia" w:ascii="仿宋_GB2312" w:hAnsi="宋体" w:eastAsia="仿宋_GB2312"/>
          <w:kern w:val="2"/>
          <w:sz w:val="32"/>
          <w:szCs w:val="28"/>
          <w:vertAlign w:val="subscript"/>
          <w:lang w:val="zh-CN"/>
        </w:rPr>
        <w:t>0</w:t>
      </w:r>
      <w:r>
        <w:rPr>
          <w:rFonts w:hint="eastAsia" w:ascii="仿宋_GB2312" w:hAnsi="宋体" w:eastAsia="仿宋_GB2312"/>
          <w:kern w:val="2"/>
          <w:sz w:val="32"/>
          <w:szCs w:val="28"/>
          <w:lang w:val="zh-CN"/>
        </w:rPr>
        <w:t>级板的术语和定义。</w:t>
      </w:r>
    </w:p>
    <w:p>
      <w:pPr>
        <w:pStyle w:val="35"/>
        <w:numPr>
          <w:ilvl w:val="0"/>
          <w:numId w:val="5"/>
        </w:numPr>
        <w:spacing w:line="560" w:lineRule="exact"/>
        <w:rPr>
          <w:rFonts w:ascii="楷体" w:hAnsi="楷体" w:eastAsia="楷体"/>
          <w:b/>
          <w:sz w:val="32"/>
          <w:szCs w:val="32"/>
        </w:rPr>
      </w:pPr>
      <w:r>
        <w:rPr>
          <w:rFonts w:hint="eastAsia" w:ascii="楷体" w:hAnsi="楷体" w:eastAsia="楷体"/>
          <w:b/>
          <w:sz w:val="32"/>
          <w:szCs w:val="32"/>
        </w:rPr>
        <w:t>分类和命名</w:t>
      </w:r>
    </w:p>
    <w:p>
      <w:pPr>
        <w:pStyle w:val="14"/>
        <w:ind w:firstLine="640"/>
        <w:rPr>
          <w:rFonts w:ascii="仿宋_GB2312" w:hAnsi="宋体" w:eastAsia="仿宋_GB2312"/>
          <w:kern w:val="2"/>
          <w:sz w:val="32"/>
          <w:szCs w:val="28"/>
          <w:lang w:val="zh-CN"/>
        </w:rPr>
      </w:pPr>
      <w:r>
        <w:rPr>
          <w:rFonts w:hint="eastAsia" w:ascii="仿宋_GB2312" w:hAnsi="宋体" w:eastAsia="仿宋_GB2312"/>
          <w:sz w:val="32"/>
          <w:szCs w:val="32"/>
        </w:rPr>
        <w:t>依据广西细木工板</w:t>
      </w:r>
      <w:r>
        <w:rPr>
          <w:rFonts w:ascii="仿宋_GB2312" w:hAnsi="宋体" w:eastAsia="仿宋_GB2312"/>
          <w:sz w:val="32"/>
          <w:szCs w:val="32"/>
        </w:rPr>
        <w:t>行业</w:t>
      </w:r>
      <w:r>
        <w:rPr>
          <w:rFonts w:hint="eastAsia" w:ascii="仿宋_GB2312" w:hAnsi="宋体" w:eastAsia="仿宋_GB2312"/>
          <w:sz w:val="32"/>
          <w:szCs w:val="32"/>
        </w:rPr>
        <w:t>生产实际，对细木工板进行分类：</w:t>
      </w:r>
      <w:r>
        <w:rPr>
          <w:rFonts w:hint="eastAsia" w:ascii="仿宋_GB2312" w:hAnsi="宋体" w:eastAsia="仿宋_GB2312"/>
          <w:kern w:val="2"/>
          <w:sz w:val="32"/>
          <w:szCs w:val="28"/>
          <w:lang w:val="zh-CN"/>
        </w:rPr>
        <w:t>按板芯拼接状况分为胶拼细木工板和不胶拼细木工板；按</w:t>
      </w:r>
      <w:r>
        <w:rPr>
          <w:rFonts w:ascii="仿宋_GB2312" w:hAnsi="宋体" w:eastAsia="仿宋_GB2312"/>
          <w:kern w:val="2"/>
          <w:sz w:val="32"/>
          <w:szCs w:val="28"/>
          <w:lang w:val="zh-CN"/>
        </w:rPr>
        <w:t>表面</w:t>
      </w:r>
      <w:r>
        <w:rPr>
          <w:rFonts w:hint="eastAsia" w:ascii="仿宋_GB2312" w:hAnsi="宋体" w:eastAsia="仿宋_GB2312"/>
          <w:kern w:val="2"/>
          <w:sz w:val="32"/>
          <w:szCs w:val="28"/>
          <w:lang w:val="zh-CN"/>
        </w:rPr>
        <w:t>加工</w:t>
      </w:r>
      <w:r>
        <w:rPr>
          <w:rFonts w:ascii="仿宋_GB2312" w:hAnsi="宋体" w:eastAsia="仿宋_GB2312"/>
          <w:kern w:val="2"/>
          <w:sz w:val="32"/>
          <w:szCs w:val="28"/>
          <w:lang w:val="zh-CN"/>
        </w:rPr>
        <w:t>状况分为</w:t>
      </w:r>
      <w:r>
        <w:rPr>
          <w:rFonts w:hint="eastAsia" w:ascii="仿宋_GB2312" w:hAnsi="宋体" w:eastAsia="仿宋_GB2312"/>
          <w:kern w:val="2"/>
          <w:sz w:val="32"/>
          <w:szCs w:val="28"/>
          <w:lang w:val="zh-CN"/>
        </w:rPr>
        <w:t>：单面砂光细木工板、双面砂光细木工板和不砂光细木工板；按</w:t>
      </w:r>
      <w:r>
        <w:rPr>
          <w:rFonts w:ascii="仿宋_GB2312" w:hAnsi="宋体" w:eastAsia="仿宋_GB2312"/>
          <w:kern w:val="2"/>
          <w:sz w:val="32"/>
          <w:szCs w:val="28"/>
          <w:lang w:val="zh-CN"/>
        </w:rPr>
        <w:t>层数分为：三层</w:t>
      </w:r>
      <w:r>
        <w:rPr>
          <w:rFonts w:hint="eastAsia" w:ascii="仿宋_GB2312" w:hAnsi="宋体" w:eastAsia="仿宋_GB2312"/>
          <w:kern w:val="2"/>
          <w:sz w:val="32"/>
          <w:szCs w:val="28"/>
          <w:lang w:val="zh-CN"/>
        </w:rPr>
        <w:t>细木工板、</w:t>
      </w:r>
      <w:r>
        <w:rPr>
          <w:rFonts w:ascii="仿宋_GB2312" w:hAnsi="宋体" w:eastAsia="仿宋_GB2312"/>
          <w:kern w:val="2"/>
          <w:sz w:val="32"/>
          <w:szCs w:val="28"/>
          <w:lang w:val="zh-CN"/>
        </w:rPr>
        <w:t>五层</w:t>
      </w:r>
      <w:r>
        <w:rPr>
          <w:rFonts w:hint="eastAsia" w:ascii="仿宋_GB2312" w:hAnsi="宋体" w:eastAsia="仿宋_GB2312"/>
          <w:kern w:val="2"/>
          <w:sz w:val="32"/>
          <w:szCs w:val="28"/>
          <w:lang w:val="zh-CN"/>
        </w:rPr>
        <w:t>细木工板</w:t>
      </w:r>
      <w:r>
        <w:rPr>
          <w:rFonts w:ascii="仿宋_GB2312" w:hAnsi="宋体" w:eastAsia="仿宋_GB2312"/>
          <w:kern w:val="2"/>
          <w:sz w:val="32"/>
          <w:szCs w:val="28"/>
          <w:lang w:val="zh-CN"/>
        </w:rPr>
        <w:t>和多层</w:t>
      </w:r>
      <w:r>
        <w:rPr>
          <w:rFonts w:hint="eastAsia" w:ascii="仿宋_GB2312" w:hAnsi="宋体" w:eastAsia="仿宋_GB2312"/>
          <w:kern w:val="2"/>
          <w:sz w:val="32"/>
          <w:szCs w:val="28"/>
          <w:lang w:val="zh-CN"/>
        </w:rPr>
        <w:t>细木工板；按</w:t>
      </w:r>
      <w:r>
        <w:rPr>
          <w:rFonts w:ascii="仿宋_GB2312" w:hAnsi="宋体" w:eastAsia="仿宋_GB2312"/>
          <w:kern w:val="2"/>
          <w:sz w:val="32"/>
          <w:szCs w:val="28"/>
          <w:lang w:val="zh-CN"/>
        </w:rPr>
        <w:t>甲醛释放量分为：</w:t>
      </w:r>
      <w:r>
        <w:rPr>
          <w:rFonts w:hint="eastAsia" w:ascii="仿宋_GB2312" w:hAnsi="宋体" w:eastAsia="仿宋_GB2312"/>
          <w:kern w:val="2"/>
          <w:sz w:val="32"/>
          <w:szCs w:val="28"/>
          <w:lang w:val="zh-CN"/>
        </w:rPr>
        <w:t>无醛细木工板和E</w:t>
      </w:r>
      <w:r>
        <w:rPr>
          <w:rFonts w:hint="eastAsia" w:ascii="仿宋_GB2312" w:hAnsi="宋体" w:eastAsia="仿宋_GB2312"/>
          <w:kern w:val="2"/>
          <w:sz w:val="32"/>
          <w:szCs w:val="28"/>
          <w:vertAlign w:val="subscript"/>
          <w:lang w:val="zh-CN"/>
        </w:rPr>
        <w:t>0</w:t>
      </w:r>
      <w:r>
        <w:rPr>
          <w:rFonts w:hint="eastAsia" w:ascii="仿宋_GB2312" w:hAnsi="宋体" w:eastAsia="仿宋_GB2312"/>
          <w:kern w:val="2"/>
          <w:sz w:val="32"/>
          <w:szCs w:val="28"/>
          <w:lang w:val="zh-CN"/>
        </w:rPr>
        <w:t>级细木工板。</w:t>
      </w:r>
    </w:p>
    <w:p>
      <w:pPr>
        <w:pStyle w:val="14"/>
        <w:ind w:firstLine="640"/>
        <w:rPr>
          <w:rFonts w:ascii="仿宋_GB2312" w:hAnsi="宋体" w:eastAsia="仿宋_GB2312"/>
          <w:kern w:val="2"/>
          <w:sz w:val="32"/>
          <w:szCs w:val="28"/>
          <w:lang w:val="zh-CN"/>
        </w:rPr>
      </w:pPr>
      <w:r>
        <w:rPr>
          <w:rFonts w:hint="eastAsia" w:ascii="仿宋_GB2312" w:hAnsi="宋体" w:eastAsia="仿宋_GB2312"/>
          <w:kern w:val="2"/>
          <w:sz w:val="32"/>
          <w:szCs w:val="28"/>
          <w:lang w:val="zh-CN"/>
        </w:rPr>
        <w:t>产品</w:t>
      </w:r>
      <w:r>
        <w:rPr>
          <w:rFonts w:ascii="仿宋_GB2312" w:hAnsi="宋体" w:eastAsia="仿宋_GB2312"/>
          <w:kern w:val="2"/>
          <w:sz w:val="32"/>
          <w:szCs w:val="28"/>
          <w:lang w:val="zh-CN"/>
        </w:rPr>
        <w:t>的</w:t>
      </w:r>
      <w:r>
        <w:rPr>
          <w:rFonts w:hint="eastAsia" w:ascii="仿宋_GB2312" w:hAnsi="宋体" w:eastAsia="仿宋_GB2312"/>
          <w:kern w:val="2"/>
          <w:sz w:val="32"/>
          <w:szCs w:val="28"/>
          <w:lang w:val="zh-CN"/>
        </w:rPr>
        <w:t>命名主要依据GB/T 5849《细木工板</w:t>
      </w:r>
      <w:r>
        <w:rPr>
          <w:rFonts w:ascii="仿宋_GB2312" w:hAnsi="宋体" w:eastAsia="仿宋_GB2312"/>
          <w:kern w:val="2"/>
          <w:sz w:val="32"/>
          <w:szCs w:val="28"/>
          <w:lang w:val="zh-CN"/>
        </w:rPr>
        <w:t>》</w:t>
      </w:r>
      <w:r>
        <w:rPr>
          <w:rFonts w:hint="eastAsia" w:ascii="仿宋_GB2312" w:hAnsi="宋体" w:eastAsia="仿宋_GB2312"/>
          <w:kern w:val="2"/>
          <w:sz w:val="32"/>
          <w:szCs w:val="28"/>
          <w:lang w:val="zh-CN"/>
        </w:rPr>
        <w:t>的规定执行</w:t>
      </w:r>
      <w:r>
        <w:rPr>
          <w:rFonts w:ascii="仿宋_GB2312" w:hAnsi="宋体" w:eastAsia="仿宋_GB2312"/>
          <w:kern w:val="2"/>
          <w:sz w:val="32"/>
          <w:szCs w:val="28"/>
          <w:lang w:val="zh-CN"/>
        </w:rPr>
        <w:t>。</w:t>
      </w:r>
      <w:r>
        <w:rPr>
          <w:rFonts w:hint="eastAsia" w:ascii="仿宋_GB2312" w:hAnsi="宋体" w:eastAsia="仿宋_GB2312"/>
          <w:kern w:val="2"/>
          <w:sz w:val="32"/>
          <w:szCs w:val="28"/>
          <w:lang w:val="zh-CN"/>
        </w:rPr>
        <w:t>即以板芯和面板主要树种进行命名，如板芯为杉木、面板为水曲柳的细木工板称为杉木芯水曲柳细木工板。</w:t>
      </w:r>
    </w:p>
    <w:p>
      <w:pPr>
        <w:pStyle w:val="14"/>
        <w:numPr>
          <w:ilvl w:val="0"/>
          <w:numId w:val="5"/>
        </w:numPr>
        <w:ind w:firstLineChars="0"/>
        <w:rPr>
          <w:rFonts w:ascii="楷体" w:hAnsi="楷体" w:eastAsia="楷体"/>
          <w:b/>
          <w:sz w:val="32"/>
          <w:szCs w:val="32"/>
          <w:lang w:val="zh-CN"/>
        </w:rPr>
      </w:pPr>
      <w:r>
        <w:rPr>
          <w:rFonts w:hint="eastAsia" w:ascii="楷体" w:hAnsi="楷体" w:eastAsia="楷体"/>
          <w:b/>
          <w:sz w:val="32"/>
          <w:szCs w:val="32"/>
          <w:lang w:val="zh-CN"/>
        </w:rPr>
        <w:t>组胚指南</w:t>
      </w:r>
    </w:p>
    <w:p>
      <w:pPr>
        <w:pStyle w:val="14"/>
        <w:ind w:firstLineChars="0"/>
        <w:rPr>
          <w:rFonts w:ascii="楷体" w:hAnsi="楷体" w:eastAsia="楷体"/>
          <w:b/>
          <w:sz w:val="32"/>
          <w:szCs w:val="32"/>
          <w:lang w:val="zh-CN"/>
        </w:rPr>
      </w:pPr>
      <w:r>
        <w:rPr>
          <w:rFonts w:hint="eastAsia" w:ascii="仿宋_GB2312" w:hAnsi="宋体" w:eastAsia="仿宋_GB2312"/>
          <w:kern w:val="2"/>
          <w:sz w:val="32"/>
          <w:szCs w:val="28"/>
          <w:lang w:val="zh-CN"/>
        </w:rPr>
        <w:t>产品的</w:t>
      </w:r>
      <w:r>
        <w:rPr>
          <w:rFonts w:ascii="仿宋_GB2312" w:hAnsi="宋体" w:eastAsia="仿宋_GB2312"/>
          <w:kern w:val="2"/>
          <w:sz w:val="32"/>
          <w:szCs w:val="28"/>
          <w:lang w:val="zh-CN"/>
        </w:rPr>
        <w:t>组胚</w:t>
      </w:r>
      <w:r>
        <w:rPr>
          <w:rFonts w:hint="eastAsia" w:ascii="仿宋_GB2312" w:hAnsi="宋体" w:eastAsia="仿宋_GB2312"/>
          <w:kern w:val="2"/>
          <w:sz w:val="32"/>
          <w:szCs w:val="28"/>
          <w:lang w:val="zh-CN"/>
        </w:rPr>
        <w:t>主要</w:t>
      </w:r>
      <w:r>
        <w:rPr>
          <w:rFonts w:ascii="仿宋_GB2312" w:hAnsi="宋体" w:eastAsia="仿宋_GB2312"/>
          <w:kern w:val="2"/>
          <w:sz w:val="32"/>
          <w:szCs w:val="28"/>
          <w:lang w:val="zh-CN"/>
        </w:rPr>
        <w:t>依据</w:t>
      </w:r>
      <w:r>
        <w:rPr>
          <w:rFonts w:hint="eastAsia" w:ascii="仿宋_GB2312" w:hAnsi="宋体" w:eastAsia="仿宋_GB2312"/>
          <w:kern w:val="2"/>
          <w:sz w:val="32"/>
          <w:szCs w:val="28"/>
          <w:lang w:val="zh-CN"/>
        </w:rPr>
        <w:t>GB/T 5849《细木工板</w:t>
      </w:r>
      <w:r>
        <w:rPr>
          <w:rFonts w:ascii="仿宋_GB2312" w:hAnsi="宋体" w:eastAsia="仿宋_GB2312"/>
          <w:kern w:val="2"/>
          <w:sz w:val="32"/>
          <w:szCs w:val="28"/>
          <w:lang w:val="zh-CN"/>
        </w:rPr>
        <w:t>》</w:t>
      </w:r>
      <w:r>
        <w:rPr>
          <w:rFonts w:hint="eastAsia" w:ascii="仿宋_GB2312" w:hAnsi="宋体" w:eastAsia="仿宋_GB2312"/>
          <w:kern w:val="2"/>
          <w:sz w:val="32"/>
          <w:szCs w:val="28"/>
          <w:lang w:val="zh-CN"/>
        </w:rPr>
        <w:t>的规定进行。</w:t>
      </w:r>
    </w:p>
    <w:p>
      <w:pPr>
        <w:pStyle w:val="35"/>
        <w:numPr>
          <w:ilvl w:val="2"/>
          <w:numId w:val="0"/>
        </w:numPr>
        <w:spacing w:before="156" w:beforeLines="50" w:after="156" w:afterLines="50" w:line="560" w:lineRule="exact"/>
        <w:ind w:firstLine="643" w:firstLineChars="200"/>
        <w:rPr>
          <w:rFonts w:ascii="楷体" w:hAnsi="楷体" w:eastAsia="楷体"/>
          <w:b/>
          <w:sz w:val="32"/>
          <w:szCs w:val="32"/>
          <w:lang w:val="zh-CN"/>
        </w:rPr>
      </w:pPr>
      <w:r>
        <w:rPr>
          <w:rFonts w:hint="eastAsia" w:ascii="楷体" w:hAnsi="楷体" w:eastAsia="楷体"/>
          <w:b/>
          <w:sz w:val="32"/>
          <w:szCs w:val="32"/>
          <w:lang w:val="zh-CN"/>
        </w:rPr>
        <w:t>（四）技术要求</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为了满足市场需求，在参考国内外相关标准的基础上，结合我区细木工板产品实际情况，细木工板产品的</w:t>
      </w:r>
      <w:r>
        <w:rPr>
          <w:rFonts w:ascii="仿宋_GB2312" w:hAnsi="宋体" w:eastAsia="仿宋_GB2312"/>
          <w:sz w:val="32"/>
          <w:szCs w:val="28"/>
          <w:lang w:val="zh-CN"/>
        </w:rPr>
        <w:t>外观质量、规格尺寸及其偏差</w:t>
      </w:r>
      <w:r>
        <w:rPr>
          <w:rFonts w:hint="eastAsia" w:ascii="仿宋_GB2312" w:hAnsi="宋体" w:eastAsia="仿宋_GB2312"/>
          <w:sz w:val="32"/>
          <w:szCs w:val="28"/>
          <w:lang w:val="zh-CN"/>
        </w:rPr>
        <w:t>、</w:t>
      </w:r>
      <w:r>
        <w:rPr>
          <w:rFonts w:ascii="仿宋_GB2312" w:hAnsi="宋体" w:eastAsia="仿宋_GB2312"/>
          <w:sz w:val="32"/>
          <w:szCs w:val="28"/>
          <w:lang w:val="zh-CN"/>
        </w:rPr>
        <w:t>物理力学性能</w:t>
      </w:r>
      <w:r>
        <w:rPr>
          <w:rFonts w:hint="eastAsia" w:ascii="仿宋_GB2312" w:hAnsi="宋体" w:eastAsia="仿宋_GB2312"/>
          <w:sz w:val="32"/>
          <w:szCs w:val="28"/>
          <w:lang w:val="zh-CN"/>
        </w:rPr>
        <w:t>等技术指标参考现行国家标准GB/T 5849-2016《细木工板》中优等品的规定，并根据行业生产实际进行调整。此外，广西是桉木种植大省，年</w:t>
      </w:r>
      <w:r>
        <w:rPr>
          <w:rFonts w:ascii="仿宋_GB2312" w:hAnsi="宋体" w:eastAsia="仿宋_GB2312"/>
          <w:sz w:val="32"/>
          <w:szCs w:val="28"/>
          <w:lang w:val="zh-CN"/>
        </w:rPr>
        <w:t>产量超</w:t>
      </w:r>
      <w:r>
        <w:rPr>
          <w:rFonts w:hint="eastAsia" w:ascii="仿宋_GB2312" w:hAnsi="宋体" w:eastAsia="仿宋_GB2312"/>
          <w:sz w:val="32"/>
          <w:szCs w:val="28"/>
          <w:lang w:val="zh-CN"/>
        </w:rPr>
        <w:t>3000万</w:t>
      </w:r>
      <w:r>
        <w:rPr>
          <w:rFonts w:ascii="仿宋_GB2312" w:hAnsi="宋体" w:eastAsia="仿宋_GB2312"/>
          <w:sz w:val="32"/>
          <w:szCs w:val="28"/>
          <w:lang w:val="zh-CN"/>
        </w:rPr>
        <w:t>立方米，</w:t>
      </w:r>
      <w:r>
        <w:rPr>
          <w:rFonts w:hint="eastAsia" w:ascii="仿宋_GB2312" w:hAnsi="宋体" w:eastAsia="仿宋_GB2312"/>
          <w:sz w:val="32"/>
          <w:szCs w:val="28"/>
          <w:lang w:val="zh-CN"/>
        </w:rPr>
        <w:t>而桉木是细木工板主要的生产原料之一。因地制宜，就地取材不仅节省运输成本，更能发挥产地优势，优化市场配置，促进经济发展，因此在胶合强度相应条款的要求中增加了桉木指标，如表1所示。</w:t>
      </w:r>
    </w:p>
    <w:p>
      <w:pPr>
        <w:pStyle w:val="39"/>
        <w:spacing w:before="156" w:after="156"/>
        <w:rPr>
          <w:szCs w:val="21"/>
        </w:rPr>
      </w:pPr>
      <w:r>
        <w:rPr>
          <w:szCs w:val="21"/>
        </w:rPr>
        <w:t>胶合强度要求</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873"/>
        <w:gridCol w:w="40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873" w:type="dxa"/>
            <w:tcBorders>
              <w:top w:val="single" w:color="auto" w:sz="8" w:space="0"/>
              <w:bottom w:val="single" w:color="auto" w:sz="8" w:space="0"/>
            </w:tcBorders>
            <w:shd w:val="clear" w:color="auto" w:fill="auto"/>
            <w:vAlign w:val="center"/>
          </w:tcPr>
          <w:p>
            <w:pPr>
              <w:pStyle w:val="40"/>
              <w:rPr>
                <w:rFonts w:ascii="仿宋" w:hAnsi="仿宋" w:eastAsia="仿宋"/>
              </w:rPr>
            </w:pPr>
            <w:r>
              <w:rPr>
                <w:rFonts w:hint="eastAsia" w:ascii="仿宋" w:hAnsi="仿宋" w:eastAsia="仿宋"/>
              </w:rPr>
              <w:t>树种名称</w:t>
            </w:r>
            <w:r>
              <w:rPr>
                <w:rFonts w:ascii="仿宋" w:hAnsi="仿宋" w:eastAsia="仿宋"/>
              </w:rPr>
              <w:t>/</w:t>
            </w:r>
            <w:r>
              <w:rPr>
                <w:rFonts w:hint="eastAsia" w:ascii="仿宋" w:hAnsi="仿宋" w:eastAsia="仿宋"/>
              </w:rPr>
              <w:t>木材名称</w:t>
            </w:r>
            <w:r>
              <w:rPr>
                <w:rFonts w:ascii="仿宋" w:hAnsi="仿宋" w:eastAsia="仿宋"/>
              </w:rPr>
              <w:t>/</w:t>
            </w:r>
            <w:r>
              <w:rPr>
                <w:rFonts w:hint="eastAsia" w:ascii="仿宋" w:hAnsi="仿宋" w:eastAsia="仿宋"/>
              </w:rPr>
              <w:t>国外商品材名称</w:t>
            </w:r>
          </w:p>
        </w:tc>
        <w:tc>
          <w:tcPr>
            <w:tcW w:w="4065" w:type="dxa"/>
            <w:tcBorders>
              <w:top w:val="single" w:color="auto" w:sz="8" w:space="0"/>
              <w:bottom w:val="single" w:color="auto" w:sz="8" w:space="0"/>
            </w:tcBorders>
            <w:shd w:val="clear" w:color="auto" w:fill="auto"/>
            <w:vAlign w:val="center"/>
          </w:tcPr>
          <w:p>
            <w:pPr>
              <w:pStyle w:val="40"/>
              <w:rPr>
                <w:rFonts w:ascii="仿宋" w:hAnsi="仿宋" w:eastAsia="仿宋"/>
              </w:rPr>
            </w:pPr>
            <w:r>
              <w:rPr>
                <w:rFonts w:hint="eastAsia" w:ascii="仿宋" w:hAnsi="仿宋" w:eastAsia="仿宋"/>
              </w:rPr>
              <w:t>指标值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73" w:type="dxa"/>
            <w:tcBorders>
              <w:top w:val="single" w:color="auto" w:sz="8" w:space="0"/>
            </w:tcBorders>
            <w:shd w:val="clear" w:color="auto" w:fill="auto"/>
            <w:vAlign w:val="center"/>
          </w:tcPr>
          <w:p>
            <w:pPr>
              <w:pStyle w:val="40"/>
              <w:rPr>
                <w:rFonts w:ascii="仿宋" w:hAnsi="仿宋" w:eastAsia="仿宋"/>
              </w:rPr>
            </w:pPr>
            <w:r>
              <w:rPr>
                <w:rFonts w:hint="eastAsia" w:ascii="仿宋" w:hAnsi="仿宋" w:eastAsia="仿宋"/>
                <w:b/>
                <w:bCs/>
              </w:rPr>
              <w:t>桉木</w:t>
            </w:r>
            <w:r>
              <w:rPr>
                <w:rFonts w:hint="eastAsia" w:ascii="仿宋" w:hAnsi="仿宋" w:eastAsia="仿宋"/>
              </w:rPr>
              <w:t>、椴木、杨木、拟赤杨、泡桐、橡胶木、柳安、杉木、奥克榄、白梧桐、异翅香、海棠木</w:t>
            </w:r>
          </w:p>
        </w:tc>
        <w:tc>
          <w:tcPr>
            <w:tcW w:w="4065" w:type="dxa"/>
            <w:tcBorders>
              <w:top w:val="single" w:color="auto" w:sz="8" w:space="0"/>
            </w:tcBorders>
            <w:shd w:val="clear" w:color="auto" w:fill="auto"/>
            <w:vAlign w:val="center"/>
          </w:tcPr>
          <w:p>
            <w:pPr>
              <w:pStyle w:val="40"/>
              <w:rPr>
                <w:rFonts w:ascii="仿宋" w:hAnsi="仿宋" w:eastAsia="仿宋"/>
              </w:rPr>
            </w:pPr>
            <w:r>
              <w:rPr>
                <w:rFonts w:hint="eastAsia" w:ascii="仿宋" w:hAnsi="仿宋" w:eastAsia="仿宋"/>
              </w:rPr>
              <w:t>≥</w:t>
            </w:r>
            <w:r>
              <w:rPr>
                <w:rFonts w:ascii="仿宋" w:hAnsi="仿宋" w:eastAsia="仿宋"/>
              </w:rPr>
              <w:t>0.70</w:t>
            </w:r>
            <w:r>
              <w:rPr>
                <w:rFonts w:hint="eastAsia" w:ascii="仿宋" w:hAnsi="仿宋" w:eastAsia="仿宋"/>
                <w:vertAlign w:val="superscript"/>
              </w:rPr>
              <w:t xml:space="preserve"> </w:t>
            </w:r>
            <w:r>
              <w:rPr>
                <w:rFonts w:ascii="仿宋" w:hAnsi="仿宋" w:eastAsia="仿宋"/>
              </w:rPr>
              <w:t>MPa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73" w:type="dxa"/>
            <w:shd w:val="clear" w:color="auto" w:fill="auto"/>
            <w:vAlign w:val="center"/>
          </w:tcPr>
          <w:p>
            <w:pPr>
              <w:pStyle w:val="40"/>
              <w:rPr>
                <w:rFonts w:ascii="仿宋" w:hAnsi="仿宋" w:eastAsia="仿宋"/>
              </w:rPr>
            </w:pPr>
            <w:r>
              <w:rPr>
                <w:rFonts w:hint="eastAsia" w:ascii="仿宋" w:hAnsi="仿宋" w:eastAsia="仿宋"/>
              </w:rPr>
              <w:t>水曲柳、荷木、枫香、槭木、榆木、柞木、阿必东、克隆、山樟</w:t>
            </w:r>
          </w:p>
        </w:tc>
        <w:tc>
          <w:tcPr>
            <w:tcW w:w="4065" w:type="dxa"/>
            <w:shd w:val="clear" w:color="auto" w:fill="auto"/>
            <w:vAlign w:val="center"/>
          </w:tcPr>
          <w:p>
            <w:pPr>
              <w:pStyle w:val="40"/>
              <w:rPr>
                <w:rFonts w:ascii="仿宋" w:hAnsi="仿宋" w:eastAsia="仿宋"/>
              </w:rPr>
            </w:pPr>
            <w:r>
              <w:rPr>
                <w:rFonts w:hint="eastAsia" w:ascii="仿宋" w:hAnsi="仿宋" w:eastAsia="仿宋"/>
              </w:rPr>
              <w:t>≥</w:t>
            </w:r>
            <w:r>
              <w:rPr>
                <w:rFonts w:ascii="仿宋" w:hAnsi="仿宋" w:eastAsia="仿宋"/>
              </w:rPr>
              <w:t>0.80</w:t>
            </w:r>
            <w:r>
              <w:rPr>
                <w:rFonts w:hint="eastAsia" w:ascii="仿宋" w:hAnsi="仿宋" w:eastAsia="仿宋"/>
                <w:vertAlign w:val="superscript"/>
              </w:rPr>
              <w:t xml:space="preserve"> </w:t>
            </w:r>
            <w:r>
              <w:rPr>
                <w:rFonts w:ascii="仿宋" w:hAnsi="仿宋" w:eastAsia="仿宋"/>
              </w:rPr>
              <w:t>MPa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73" w:type="dxa"/>
            <w:shd w:val="clear" w:color="auto" w:fill="auto"/>
            <w:vAlign w:val="center"/>
          </w:tcPr>
          <w:p>
            <w:pPr>
              <w:pStyle w:val="40"/>
              <w:rPr>
                <w:rFonts w:ascii="仿宋" w:hAnsi="仿宋" w:eastAsia="仿宋"/>
              </w:rPr>
            </w:pPr>
            <w:r>
              <w:rPr>
                <w:rFonts w:hint="eastAsia" w:ascii="仿宋" w:hAnsi="仿宋" w:eastAsia="仿宋"/>
              </w:rPr>
              <w:t>桦木</w:t>
            </w:r>
          </w:p>
        </w:tc>
        <w:tc>
          <w:tcPr>
            <w:tcW w:w="4065" w:type="dxa"/>
            <w:shd w:val="clear" w:color="auto" w:fill="auto"/>
            <w:vAlign w:val="center"/>
          </w:tcPr>
          <w:p>
            <w:pPr>
              <w:pStyle w:val="40"/>
              <w:rPr>
                <w:rFonts w:ascii="仿宋" w:hAnsi="仿宋" w:eastAsia="仿宋"/>
              </w:rPr>
            </w:pPr>
            <w:r>
              <w:rPr>
                <w:rFonts w:hint="eastAsia" w:ascii="仿宋" w:hAnsi="仿宋" w:eastAsia="仿宋"/>
              </w:rPr>
              <w:t>≥</w:t>
            </w:r>
            <w:r>
              <w:rPr>
                <w:rFonts w:ascii="仿宋" w:hAnsi="仿宋" w:eastAsia="仿宋"/>
              </w:rPr>
              <w:t>1.00</w:t>
            </w:r>
            <w:r>
              <w:rPr>
                <w:rFonts w:hint="eastAsia" w:ascii="仿宋" w:hAnsi="仿宋" w:eastAsia="仿宋"/>
                <w:vertAlign w:val="superscript"/>
              </w:rPr>
              <w:t xml:space="preserve"> </w:t>
            </w:r>
            <w:r>
              <w:rPr>
                <w:rFonts w:ascii="仿宋" w:hAnsi="仿宋" w:eastAsia="仿宋"/>
              </w:rPr>
              <w:t>MPa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73" w:type="dxa"/>
            <w:shd w:val="clear" w:color="auto" w:fill="auto"/>
            <w:vAlign w:val="center"/>
          </w:tcPr>
          <w:p>
            <w:pPr>
              <w:pStyle w:val="40"/>
              <w:rPr>
                <w:rFonts w:ascii="仿宋" w:hAnsi="仿宋" w:eastAsia="仿宋"/>
              </w:rPr>
            </w:pPr>
            <w:r>
              <w:rPr>
                <w:rFonts w:hint="eastAsia" w:ascii="仿宋" w:hAnsi="仿宋" w:eastAsia="仿宋"/>
              </w:rPr>
              <w:t>马尾松、云南松、落叶松、云杉、辐射松</w:t>
            </w:r>
          </w:p>
        </w:tc>
        <w:tc>
          <w:tcPr>
            <w:tcW w:w="4065" w:type="dxa"/>
            <w:shd w:val="clear" w:color="auto" w:fill="auto"/>
            <w:vAlign w:val="center"/>
          </w:tcPr>
          <w:p>
            <w:pPr>
              <w:pStyle w:val="40"/>
              <w:rPr>
                <w:rFonts w:ascii="仿宋" w:hAnsi="仿宋" w:eastAsia="仿宋"/>
              </w:rPr>
            </w:pPr>
            <w:r>
              <w:rPr>
                <w:rFonts w:hint="eastAsia" w:ascii="仿宋" w:hAnsi="仿宋" w:eastAsia="仿宋"/>
              </w:rPr>
              <w:t>≥</w:t>
            </w:r>
            <w:r>
              <w:rPr>
                <w:rFonts w:ascii="仿宋" w:hAnsi="仿宋" w:eastAsia="仿宋"/>
              </w:rPr>
              <w:t>0.80</w:t>
            </w:r>
            <w:r>
              <w:rPr>
                <w:rFonts w:hint="eastAsia" w:ascii="仿宋" w:hAnsi="仿宋" w:eastAsia="仿宋"/>
                <w:vertAlign w:val="superscript"/>
              </w:rPr>
              <w:t xml:space="preserve"> </w:t>
            </w:r>
            <w:r>
              <w:rPr>
                <w:rFonts w:ascii="仿宋" w:hAnsi="仿宋" w:eastAsia="仿宋"/>
              </w:rPr>
              <w:t>MPa</w:t>
            </w:r>
          </w:p>
        </w:tc>
      </w:tr>
    </w:tbl>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2018年5月1日颁布实施新标准GB 18580-2017《室内装饰装修材料 人造板及其制品中甲醛释放限量》规定甲醛释放限量值为0.124mg/m</w:t>
      </w:r>
      <w:r>
        <w:rPr>
          <w:rFonts w:hint="eastAsia" w:ascii="仿宋_GB2312" w:hAnsi="宋体" w:eastAsia="仿宋_GB2312"/>
          <w:sz w:val="32"/>
          <w:szCs w:val="28"/>
          <w:vertAlign w:val="superscript"/>
          <w:lang w:val="zh-CN"/>
        </w:rPr>
        <w:t>3</w:t>
      </w:r>
      <w:r>
        <w:rPr>
          <w:rFonts w:hint="eastAsia" w:ascii="仿宋_GB2312" w:hAnsi="宋体" w:eastAsia="仿宋_GB2312"/>
          <w:sz w:val="32"/>
          <w:szCs w:val="28"/>
          <w:lang w:val="zh-CN"/>
        </w:rPr>
        <w:t>，限量标识为E</w:t>
      </w:r>
      <w:r>
        <w:rPr>
          <w:rFonts w:hint="eastAsia" w:ascii="仿宋_GB2312" w:hAnsi="宋体" w:eastAsia="仿宋_GB2312"/>
          <w:sz w:val="32"/>
          <w:szCs w:val="28"/>
          <w:vertAlign w:val="subscript"/>
          <w:lang w:val="zh-CN"/>
        </w:rPr>
        <w:t>1</w:t>
      </w:r>
      <w:r>
        <w:rPr>
          <w:rFonts w:hint="eastAsia" w:ascii="仿宋_GB2312" w:hAnsi="宋体" w:eastAsia="仿宋_GB2312"/>
          <w:sz w:val="32"/>
          <w:szCs w:val="28"/>
          <w:lang w:val="zh-CN"/>
        </w:rPr>
        <w:t>，取消了原标准的E</w:t>
      </w:r>
      <w:r>
        <w:rPr>
          <w:rFonts w:hint="eastAsia" w:ascii="仿宋_GB2312" w:hAnsi="宋体" w:eastAsia="仿宋_GB2312"/>
          <w:sz w:val="32"/>
          <w:szCs w:val="28"/>
          <w:vertAlign w:val="subscript"/>
          <w:lang w:val="zh-CN"/>
        </w:rPr>
        <w:t>2</w:t>
      </w:r>
      <w:r>
        <w:rPr>
          <w:rFonts w:hint="eastAsia" w:ascii="仿宋_GB2312" w:hAnsi="宋体" w:eastAsia="仿宋_GB2312"/>
          <w:sz w:val="32"/>
          <w:szCs w:val="28"/>
          <w:lang w:val="zh-CN"/>
        </w:rPr>
        <w:t>级。T/CNFPIA 3002-2018《无醛人造板及其制品》分别规定了人造板甲醛释放限量E</w:t>
      </w:r>
      <w:r>
        <w:rPr>
          <w:rFonts w:hint="eastAsia" w:ascii="仿宋_GB2312" w:hAnsi="宋体" w:eastAsia="仿宋_GB2312"/>
          <w:sz w:val="32"/>
          <w:szCs w:val="28"/>
          <w:vertAlign w:val="subscript"/>
          <w:lang w:val="zh-CN"/>
        </w:rPr>
        <w:t>0</w:t>
      </w:r>
      <w:r>
        <w:rPr>
          <w:rFonts w:hint="eastAsia" w:ascii="仿宋_GB2312" w:hAnsi="宋体" w:eastAsia="仿宋_GB2312"/>
          <w:sz w:val="32"/>
          <w:szCs w:val="28"/>
          <w:lang w:val="zh-CN"/>
        </w:rPr>
        <w:t>级和无醛人造板的技术要求。但随着GB/T 39600-2021《人造板及其制品甲醛释放量分级》的已正式发布，对细木工板甲醛释放量提出了新的更严格的等级要求，规定E</w:t>
      </w:r>
      <w:r>
        <w:rPr>
          <w:rFonts w:ascii="仿宋_GB2312" w:hAnsi="宋体" w:eastAsia="仿宋_GB2312"/>
          <w:sz w:val="32"/>
          <w:szCs w:val="28"/>
          <w:vertAlign w:val="subscript"/>
          <w:lang w:val="zh-CN"/>
        </w:rPr>
        <w:t>1</w:t>
      </w:r>
      <w:r>
        <w:rPr>
          <w:rFonts w:hint="eastAsia" w:ascii="仿宋_GB2312" w:hAnsi="宋体" w:eastAsia="仿宋_GB2312"/>
          <w:sz w:val="32"/>
          <w:szCs w:val="28"/>
          <w:lang w:val="zh-CN"/>
        </w:rPr>
        <w:t>级人造板甲醛释放限量值为0.124mg/m</w:t>
      </w:r>
      <w:r>
        <w:rPr>
          <w:rFonts w:hint="eastAsia" w:ascii="仿宋_GB2312" w:hAnsi="宋体" w:eastAsia="仿宋_GB2312"/>
          <w:sz w:val="32"/>
          <w:szCs w:val="28"/>
          <w:vertAlign w:val="superscript"/>
          <w:lang w:val="zh-CN"/>
        </w:rPr>
        <w:t>3</w:t>
      </w:r>
      <w:r>
        <w:rPr>
          <w:rFonts w:hint="eastAsia" w:ascii="仿宋_GB2312" w:hAnsi="宋体" w:eastAsia="仿宋_GB2312"/>
          <w:sz w:val="32"/>
          <w:szCs w:val="28"/>
          <w:lang w:val="zh-CN"/>
        </w:rPr>
        <w:t>，E</w:t>
      </w:r>
      <w:r>
        <w:rPr>
          <w:rFonts w:ascii="仿宋_GB2312" w:hAnsi="宋体" w:eastAsia="仿宋_GB2312"/>
          <w:sz w:val="32"/>
          <w:szCs w:val="28"/>
          <w:vertAlign w:val="subscript"/>
          <w:lang w:val="zh-CN"/>
        </w:rPr>
        <w:t>0</w:t>
      </w:r>
      <w:r>
        <w:rPr>
          <w:rFonts w:hint="eastAsia" w:ascii="仿宋_GB2312" w:hAnsi="宋体" w:eastAsia="仿宋_GB2312"/>
          <w:sz w:val="32"/>
          <w:szCs w:val="28"/>
          <w:lang w:val="zh-CN"/>
        </w:rPr>
        <w:t>级人造板甲醛释放限量值为0.</w:t>
      </w:r>
      <w:r>
        <w:rPr>
          <w:rFonts w:ascii="仿宋_GB2312" w:hAnsi="宋体" w:eastAsia="仿宋_GB2312"/>
          <w:sz w:val="32"/>
          <w:szCs w:val="28"/>
          <w:lang w:val="zh-CN"/>
        </w:rPr>
        <w:t>050</w:t>
      </w:r>
      <w:r>
        <w:rPr>
          <w:rFonts w:hint="eastAsia" w:ascii="仿宋_GB2312" w:hAnsi="宋体" w:eastAsia="仿宋_GB2312"/>
          <w:sz w:val="32"/>
          <w:szCs w:val="28"/>
          <w:lang w:val="zh-CN"/>
        </w:rPr>
        <w:t>mg/m</w:t>
      </w:r>
      <w:r>
        <w:rPr>
          <w:rFonts w:hint="eastAsia" w:ascii="仿宋_GB2312" w:hAnsi="宋体" w:eastAsia="仿宋_GB2312"/>
          <w:sz w:val="32"/>
          <w:szCs w:val="28"/>
          <w:vertAlign w:val="superscript"/>
          <w:lang w:val="zh-CN"/>
        </w:rPr>
        <w:t>3</w:t>
      </w:r>
      <w:r>
        <w:rPr>
          <w:rFonts w:hint="eastAsia" w:ascii="仿宋_GB2312" w:hAnsi="宋体" w:eastAsia="仿宋_GB2312"/>
          <w:sz w:val="32"/>
          <w:szCs w:val="28"/>
          <w:lang w:val="zh-CN"/>
        </w:rPr>
        <w:t>，E</w:t>
      </w:r>
      <w:r>
        <w:rPr>
          <w:rFonts w:ascii="仿宋_GB2312" w:hAnsi="宋体" w:eastAsia="仿宋_GB2312"/>
          <w:sz w:val="32"/>
          <w:szCs w:val="28"/>
          <w:vertAlign w:val="subscript"/>
          <w:lang w:val="zh-CN"/>
        </w:rPr>
        <w:t>NP</w:t>
      </w:r>
      <w:r>
        <w:rPr>
          <w:rFonts w:hint="eastAsia" w:ascii="仿宋_GB2312" w:hAnsi="宋体" w:eastAsia="仿宋_GB2312"/>
          <w:sz w:val="32"/>
          <w:szCs w:val="28"/>
          <w:lang w:val="zh-CN"/>
        </w:rPr>
        <w:t>级人造板甲醛释放限量值为0.</w:t>
      </w:r>
      <w:r>
        <w:rPr>
          <w:rFonts w:ascii="仿宋_GB2312" w:hAnsi="宋体" w:eastAsia="仿宋_GB2312"/>
          <w:sz w:val="32"/>
          <w:szCs w:val="28"/>
          <w:lang w:val="zh-CN"/>
        </w:rPr>
        <w:t>025</w:t>
      </w:r>
      <w:r>
        <w:rPr>
          <w:rFonts w:hint="eastAsia" w:ascii="仿宋_GB2312" w:hAnsi="宋体" w:eastAsia="仿宋_GB2312"/>
          <w:sz w:val="32"/>
          <w:szCs w:val="28"/>
          <w:lang w:val="zh-CN"/>
        </w:rPr>
        <w:t>mg/m</w:t>
      </w:r>
      <w:r>
        <w:rPr>
          <w:rFonts w:hint="eastAsia" w:ascii="仿宋_GB2312" w:hAnsi="宋体" w:eastAsia="仿宋_GB2312"/>
          <w:sz w:val="32"/>
          <w:szCs w:val="28"/>
          <w:vertAlign w:val="superscript"/>
          <w:lang w:val="zh-CN"/>
        </w:rPr>
        <w:t>3</w:t>
      </w:r>
      <w:r>
        <w:rPr>
          <w:rFonts w:hint="eastAsia" w:ascii="仿宋_GB2312" w:hAnsi="宋体" w:eastAsia="仿宋_GB2312"/>
          <w:sz w:val="32"/>
          <w:szCs w:val="28"/>
          <w:lang w:val="zh-CN"/>
        </w:rPr>
        <w:t>。T/GXLC 004-2019《细木工板》无醛级别甲醛释放量指标已超出最新国标要求。因此，本标准重新定级，使其契合现行的国家标准，并符合行业生产实际，顺应细木工板发展的需要，从而更有利于促进广西细木工板行业的发展走上新台阶。</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此外，TVOC是“总挥发性有机物”的简称，是三种（甲醛、苯及苯系物、TVOC）影响室内空气品质污染较为严重的一种。其在常温下能挥发到空气中，气味具有刺激性，产生急性毒性、致癌性和基因毒性，会影响皮肤和黏膜，能引起机体免疫水平失调，影响中枢神经系统功能，对人体产生急性损害，严重时可损伤肝脏和造血系统。世界卫生组织（WHO）、美国国家科学院等机构一直强调TVOC是一类重要的空气污染物。家装材料TVOC是室内TVOC的主要来源之一。人们每天绝大部分时间都停留在家中、办公室或者其他室内环境，如果室内空气质量不佳容易引发各类疾病。而现行的细木工板产品标准GB/T 5849-2016《细木工板》未把TVOC技术指标列入其中，导致很多细木工板产品的TVOC未能在源头上得到控制。因此编制组经讨论认为有必要在本标准中对TVOC进行要求，以确保细木工板产品的高质量生产。</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标准是在国内相关标准的基础上，在确保外观质量、含水率、横向静曲强度、表面胶合强度、胶合强度、静弹性模量、浸渍剥离性能等技术指标符合国家标准要求的前提下，将甲醛释放限量指标值定得更加严格，并按甲醛释放限量分为无醛级、E</w:t>
      </w:r>
      <w:r>
        <w:rPr>
          <w:rFonts w:hint="eastAsia" w:ascii="仿宋_GB2312" w:hAnsi="宋体" w:eastAsia="仿宋_GB2312"/>
          <w:sz w:val="32"/>
          <w:szCs w:val="28"/>
          <w:vertAlign w:val="subscript"/>
          <w:lang w:val="zh-CN"/>
        </w:rPr>
        <w:t>0</w:t>
      </w:r>
      <w:r>
        <w:rPr>
          <w:rFonts w:hint="eastAsia" w:ascii="仿宋_GB2312" w:hAnsi="宋体" w:eastAsia="仿宋_GB2312"/>
          <w:sz w:val="32"/>
          <w:szCs w:val="28"/>
          <w:lang w:val="zh-CN"/>
        </w:rPr>
        <w:t>级两个等级，并在标准中增加TVOC的限量值。</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在前期的检验中，按GB/T 17657-2013《人造板及饰面人造板理化性能试验方法》4.60甲醛释放量测定——1m</w:t>
      </w:r>
      <w:r>
        <w:rPr>
          <w:rFonts w:hint="eastAsia" w:ascii="仿宋_GB2312" w:hAnsi="宋体" w:eastAsia="仿宋_GB2312"/>
          <w:sz w:val="32"/>
          <w:szCs w:val="28"/>
          <w:vertAlign w:val="superscript"/>
          <w:lang w:val="zh-CN"/>
        </w:rPr>
        <w:t>3</w:t>
      </w:r>
      <w:r>
        <w:rPr>
          <w:rFonts w:hint="eastAsia" w:ascii="仿宋_GB2312" w:hAnsi="宋体" w:eastAsia="仿宋_GB2312"/>
          <w:sz w:val="32"/>
          <w:szCs w:val="28"/>
          <w:lang w:val="zh-CN"/>
        </w:rPr>
        <w:t>气候箱法规定的试验方法测定甲醛释放量，结果如表2所示。</w:t>
      </w:r>
    </w:p>
    <w:p>
      <w:pPr>
        <w:pStyle w:val="39"/>
        <w:spacing w:before="156" w:after="156"/>
        <w:rPr>
          <w:rFonts w:hAnsi="黑体"/>
          <w:szCs w:val="21"/>
        </w:rPr>
      </w:pPr>
      <w:r>
        <w:rPr>
          <w:rFonts w:hint="eastAsia" w:hAnsi="黑体"/>
          <w:szCs w:val="21"/>
        </w:rPr>
        <w:t>2</w:t>
      </w:r>
      <w:r>
        <w:rPr>
          <w:rFonts w:hAnsi="黑体"/>
          <w:szCs w:val="21"/>
        </w:rPr>
        <w:t>018</w:t>
      </w:r>
      <w:r>
        <w:rPr>
          <w:rFonts w:hint="eastAsia" w:hAnsi="黑体"/>
          <w:szCs w:val="21"/>
        </w:rPr>
        <w:t>、</w:t>
      </w:r>
      <w:r>
        <w:rPr>
          <w:rFonts w:hAnsi="黑体"/>
          <w:szCs w:val="21"/>
        </w:rPr>
        <w:t>2019</w:t>
      </w:r>
      <w:r>
        <w:rPr>
          <w:rFonts w:hint="eastAsia" w:hAnsi="黑体"/>
          <w:szCs w:val="21"/>
        </w:rPr>
        <w:t>年广西细木工板产品甲醛释放量区间分布表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9"/>
        <w:gridCol w:w="1789"/>
        <w:gridCol w:w="1790"/>
        <w:gridCol w:w="1790"/>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89" w:type="dxa"/>
            <w:vAlign w:val="center"/>
          </w:tcPr>
          <w:p>
            <w:pPr>
              <w:jc w:val="center"/>
              <w:rPr>
                <w:rFonts w:eastAsiaTheme="minorEastAsia"/>
                <w:sz w:val="18"/>
                <w:szCs w:val="18"/>
              </w:rPr>
            </w:pPr>
            <w:r>
              <w:rPr>
                <w:rFonts w:hint="eastAsia" w:eastAsiaTheme="minorEastAsia"/>
                <w:sz w:val="18"/>
                <w:szCs w:val="18"/>
              </w:rPr>
              <w:t>甲醛释放量</w:t>
            </w:r>
          </w:p>
          <w:p>
            <w:pPr>
              <w:jc w:val="center"/>
              <w:rPr>
                <w:rFonts w:ascii="仿宋_GB2312" w:hAnsi="宋体" w:eastAsia="仿宋_GB2312"/>
                <w:sz w:val="18"/>
                <w:szCs w:val="18"/>
                <w:lang w:val="zh-CN"/>
              </w:rPr>
            </w:pPr>
            <w:r>
              <w:rPr>
                <w:rFonts w:eastAsiaTheme="minorEastAsia"/>
                <w:sz w:val="18"/>
                <w:szCs w:val="18"/>
              </w:rPr>
              <w:t>mg/m3</w:t>
            </w:r>
          </w:p>
        </w:tc>
        <w:tc>
          <w:tcPr>
            <w:tcW w:w="1789" w:type="dxa"/>
            <w:vAlign w:val="center"/>
          </w:tcPr>
          <w:p>
            <w:pPr>
              <w:jc w:val="center"/>
              <w:rPr>
                <w:rFonts w:ascii="仿宋_GB2312" w:hAnsi="宋体" w:eastAsia="仿宋_GB2312"/>
                <w:sz w:val="18"/>
                <w:szCs w:val="18"/>
                <w:lang w:val="zh-CN"/>
              </w:rPr>
            </w:pPr>
            <w:r>
              <w:rPr>
                <w:rFonts w:hint="eastAsia" w:eastAsiaTheme="minorEastAsia"/>
                <w:sz w:val="18"/>
                <w:szCs w:val="18"/>
              </w:rPr>
              <w:t>＜</w:t>
            </w:r>
            <w:r>
              <w:rPr>
                <w:rFonts w:eastAsiaTheme="minorEastAsia"/>
                <w:sz w:val="18"/>
                <w:szCs w:val="18"/>
              </w:rPr>
              <w:t>0.03</w:t>
            </w:r>
          </w:p>
        </w:tc>
        <w:tc>
          <w:tcPr>
            <w:tcW w:w="1790" w:type="dxa"/>
            <w:vAlign w:val="center"/>
          </w:tcPr>
          <w:p>
            <w:pPr>
              <w:jc w:val="center"/>
              <w:rPr>
                <w:rFonts w:ascii="仿宋_GB2312" w:hAnsi="宋体" w:eastAsia="仿宋_GB2312"/>
                <w:sz w:val="18"/>
                <w:szCs w:val="18"/>
                <w:lang w:val="zh-CN"/>
              </w:rPr>
            </w:pPr>
            <w:r>
              <w:rPr>
                <w:rFonts w:eastAsiaTheme="minorEastAsia"/>
                <w:sz w:val="18"/>
                <w:szCs w:val="18"/>
              </w:rPr>
              <w:t>0.03</w:t>
            </w:r>
            <w:r>
              <w:rPr>
                <w:rFonts w:hint="eastAsia" w:eastAsiaTheme="minorEastAsia"/>
                <w:sz w:val="18"/>
                <w:szCs w:val="18"/>
              </w:rPr>
              <w:t>～</w:t>
            </w:r>
            <w:r>
              <w:rPr>
                <w:rFonts w:eastAsiaTheme="minorEastAsia"/>
                <w:sz w:val="18"/>
                <w:szCs w:val="18"/>
              </w:rPr>
              <w:t>0.08</w:t>
            </w:r>
          </w:p>
        </w:tc>
        <w:tc>
          <w:tcPr>
            <w:tcW w:w="1790" w:type="dxa"/>
            <w:vAlign w:val="center"/>
          </w:tcPr>
          <w:p>
            <w:pPr>
              <w:jc w:val="center"/>
              <w:rPr>
                <w:rFonts w:ascii="仿宋_GB2312" w:hAnsi="宋体" w:eastAsia="仿宋_GB2312"/>
                <w:sz w:val="18"/>
                <w:szCs w:val="18"/>
                <w:lang w:val="zh-CN"/>
              </w:rPr>
            </w:pPr>
            <w:r>
              <w:rPr>
                <w:rFonts w:eastAsiaTheme="minorEastAsia"/>
                <w:sz w:val="18"/>
                <w:szCs w:val="18"/>
              </w:rPr>
              <w:t>0.08</w:t>
            </w:r>
            <w:r>
              <w:rPr>
                <w:rFonts w:hint="eastAsia" w:eastAsiaTheme="minorEastAsia"/>
                <w:sz w:val="18"/>
                <w:szCs w:val="18"/>
              </w:rPr>
              <w:t>～</w:t>
            </w:r>
            <w:r>
              <w:rPr>
                <w:rFonts w:eastAsiaTheme="minorEastAsia"/>
                <w:sz w:val="18"/>
                <w:szCs w:val="18"/>
              </w:rPr>
              <w:t>0.124</w:t>
            </w:r>
          </w:p>
        </w:tc>
        <w:tc>
          <w:tcPr>
            <w:tcW w:w="1790" w:type="dxa"/>
            <w:vAlign w:val="center"/>
          </w:tcPr>
          <w:p>
            <w:pPr>
              <w:jc w:val="center"/>
              <w:rPr>
                <w:rFonts w:ascii="仿宋_GB2312" w:hAnsi="宋体" w:eastAsia="仿宋_GB2312"/>
                <w:sz w:val="18"/>
                <w:szCs w:val="18"/>
                <w:lang w:val="zh-CN"/>
              </w:rPr>
            </w:pPr>
            <w:r>
              <w:rPr>
                <w:rFonts w:hint="eastAsia" w:eastAsiaTheme="minorEastAsia"/>
                <w:sz w:val="18"/>
                <w:szCs w:val="18"/>
              </w:rPr>
              <w:t>＞</w:t>
            </w:r>
            <w:r>
              <w:rPr>
                <w:rFonts w:eastAsiaTheme="minorEastAsia"/>
                <w:sz w:val="18"/>
                <w:szCs w:val="18"/>
              </w:rPr>
              <w:t>0.124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vAlign w:val="center"/>
          </w:tcPr>
          <w:p>
            <w:pPr>
              <w:jc w:val="center"/>
              <w:rPr>
                <w:rFonts w:ascii="仿宋_GB2312" w:hAnsi="宋体" w:eastAsia="仿宋_GB2312"/>
                <w:sz w:val="18"/>
                <w:szCs w:val="18"/>
                <w:lang w:val="zh-CN"/>
              </w:rPr>
            </w:pPr>
            <w:r>
              <w:rPr>
                <w:rFonts w:hint="eastAsia" w:eastAsiaTheme="minorEastAsia"/>
                <w:sz w:val="18"/>
                <w:szCs w:val="18"/>
              </w:rPr>
              <w:t>样品批次</w:t>
            </w:r>
          </w:p>
        </w:tc>
        <w:tc>
          <w:tcPr>
            <w:tcW w:w="1789" w:type="dxa"/>
            <w:vAlign w:val="center"/>
          </w:tcPr>
          <w:p>
            <w:pPr>
              <w:jc w:val="center"/>
              <w:rPr>
                <w:rFonts w:ascii="仿宋_GB2312" w:hAnsi="宋体" w:eastAsia="仿宋_GB2312"/>
                <w:sz w:val="18"/>
                <w:szCs w:val="18"/>
                <w:lang w:val="zh-CN"/>
              </w:rPr>
            </w:pPr>
            <w:r>
              <w:rPr>
                <w:rFonts w:hint="eastAsia" w:eastAsiaTheme="minorEastAsia"/>
                <w:sz w:val="18"/>
                <w:szCs w:val="18"/>
              </w:rPr>
              <w:t>42</w:t>
            </w:r>
          </w:p>
        </w:tc>
        <w:tc>
          <w:tcPr>
            <w:tcW w:w="1790" w:type="dxa"/>
            <w:vAlign w:val="center"/>
          </w:tcPr>
          <w:p>
            <w:pPr>
              <w:jc w:val="center"/>
              <w:rPr>
                <w:rFonts w:ascii="仿宋_GB2312" w:hAnsi="宋体" w:eastAsia="仿宋_GB2312"/>
                <w:sz w:val="18"/>
                <w:szCs w:val="18"/>
                <w:lang w:val="zh-CN"/>
              </w:rPr>
            </w:pPr>
            <w:r>
              <w:rPr>
                <w:rFonts w:hint="eastAsia" w:eastAsiaTheme="minorEastAsia"/>
                <w:sz w:val="18"/>
                <w:szCs w:val="18"/>
              </w:rPr>
              <w:t>84</w:t>
            </w:r>
          </w:p>
        </w:tc>
        <w:tc>
          <w:tcPr>
            <w:tcW w:w="1790" w:type="dxa"/>
            <w:vAlign w:val="center"/>
          </w:tcPr>
          <w:p>
            <w:pPr>
              <w:jc w:val="center"/>
              <w:rPr>
                <w:rFonts w:ascii="仿宋_GB2312" w:hAnsi="宋体" w:eastAsia="仿宋_GB2312"/>
                <w:sz w:val="18"/>
                <w:szCs w:val="18"/>
                <w:lang w:val="zh-CN"/>
              </w:rPr>
            </w:pPr>
            <w:r>
              <w:rPr>
                <w:rFonts w:hint="eastAsia" w:eastAsiaTheme="minorEastAsia"/>
                <w:sz w:val="18"/>
                <w:szCs w:val="18"/>
              </w:rPr>
              <w:t>22</w:t>
            </w:r>
          </w:p>
        </w:tc>
        <w:tc>
          <w:tcPr>
            <w:tcW w:w="1790" w:type="dxa"/>
            <w:vAlign w:val="center"/>
          </w:tcPr>
          <w:p>
            <w:pPr>
              <w:jc w:val="center"/>
              <w:rPr>
                <w:rFonts w:ascii="仿宋_GB2312" w:hAnsi="宋体" w:eastAsia="仿宋_GB2312"/>
                <w:sz w:val="18"/>
                <w:szCs w:val="18"/>
                <w:lang w:val="zh-CN"/>
              </w:rPr>
            </w:pPr>
            <w:r>
              <w:rPr>
                <w:rFonts w:hint="eastAsia" w:eastAsiaTheme="minorEastAsia"/>
                <w:sz w:val="18"/>
                <w:szCs w:val="18"/>
              </w:rPr>
              <w:t>3</w:t>
            </w:r>
          </w:p>
        </w:tc>
      </w:tr>
    </w:tbl>
    <w:p>
      <w:pPr>
        <w:tabs>
          <w:tab w:val="left" w:pos="3560"/>
        </w:tabs>
        <w:spacing w:line="560" w:lineRule="exact"/>
        <w:rPr>
          <w:rFonts w:ascii="仿宋_GB2312" w:hAnsi="宋体" w:eastAsia="仿宋_GB2312"/>
          <w:sz w:val="32"/>
          <w:szCs w:val="28"/>
          <w:lang w:val="zh-CN"/>
        </w:rPr>
      </w:pP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由表2可知广西质检院共检测广西细木工板产品的甲醛释放量151批次，其中42批次产品甲醛释放量在0.0</w:t>
      </w:r>
      <w:r>
        <w:rPr>
          <w:rFonts w:ascii="仿宋_GB2312" w:hAnsi="宋体" w:eastAsia="仿宋_GB2312"/>
          <w:sz w:val="32"/>
          <w:szCs w:val="28"/>
          <w:lang w:val="zh-CN"/>
        </w:rPr>
        <w:t>3</w:t>
      </w:r>
      <w:r>
        <w:rPr>
          <w:rFonts w:hint="eastAsia" w:ascii="仿宋_GB2312" w:hAnsi="宋体" w:eastAsia="仿宋_GB2312"/>
          <w:sz w:val="32"/>
          <w:szCs w:val="28"/>
          <w:lang w:val="zh-CN"/>
        </w:rPr>
        <w:t>mg/m</w:t>
      </w:r>
      <w:r>
        <w:rPr>
          <w:rFonts w:hint="eastAsia" w:ascii="仿宋_GB2312" w:hAnsi="宋体" w:eastAsia="仿宋_GB2312"/>
          <w:sz w:val="32"/>
          <w:szCs w:val="28"/>
          <w:vertAlign w:val="superscript"/>
          <w:lang w:val="zh-CN"/>
        </w:rPr>
        <w:t>3</w:t>
      </w:r>
      <w:r>
        <w:rPr>
          <w:rFonts w:hint="eastAsia" w:ascii="仿宋_GB2312" w:hAnsi="宋体" w:eastAsia="仿宋_GB2312"/>
          <w:sz w:val="32"/>
          <w:szCs w:val="28"/>
          <w:lang w:val="zh-CN"/>
        </w:rPr>
        <w:t>以下，占比27.8%；84批次产品甲醛释放量在0.0</w:t>
      </w:r>
      <w:r>
        <w:rPr>
          <w:rFonts w:ascii="仿宋_GB2312" w:hAnsi="宋体" w:eastAsia="仿宋_GB2312"/>
          <w:sz w:val="32"/>
          <w:szCs w:val="28"/>
          <w:lang w:val="zh-CN"/>
        </w:rPr>
        <w:t>325</w:t>
      </w:r>
      <w:r>
        <w:rPr>
          <w:rFonts w:hint="eastAsia"/>
          <w:sz w:val="18"/>
          <w:szCs w:val="18"/>
        </w:rPr>
        <w:t>～</w:t>
      </w:r>
      <w:r>
        <w:rPr>
          <w:rFonts w:hint="eastAsia" w:ascii="仿宋_GB2312" w:hAnsi="宋体" w:eastAsia="仿宋_GB2312"/>
          <w:sz w:val="32"/>
          <w:szCs w:val="28"/>
          <w:lang w:val="zh-CN"/>
        </w:rPr>
        <w:t>0.0</w:t>
      </w:r>
      <w:r>
        <w:rPr>
          <w:rFonts w:ascii="仿宋_GB2312" w:hAnsi="宋体" w:eastAsia="仿宋_GB2312"/>
          <w:sz w:val="32"/>
          <w:szCs w:val="28"/>
          <w:lang w:val="zh-CN"/>
        </w:rPr>
        <w:t>8</w:t>
      </w:r>
      <w:r>
        <w:rPr>
          <w:rFonts w:hint="eastAsia" w:ascii="仿宋_GB2312" w:hAnsi="宋体" w:eastAsia="仿宋_GB2312"/>
          <w:sz w:val="32"/>
          <w:szCs w:val="28"/>
          <w:lang w:val="zh-CN"/>
        </w:rPr>
        <w:t>mg/m</w:t>
      </w:r>
      <w:r>
        <w:rPr>
          <w:rFonts w:hint="eastAsia" w:ascii="仿宋_GB2312" w:hAnsi="宋体" w:eastAsia="仿宋_GB2312"/>
          <w:sz w:val="32"/>
          <w:szCs w:val="28"/>
          <w:vertAlign w:val="superscript"/>
          <w:lang w:val="zh-CN"/>
        </w:rPr>
        <w:t>3</w:t>
      </w:r>
      <w:r>
        <w:rPr>
          <w:rFonts w:hint="eastAsia" w:ascii="仿宋_GB2312" w:hAnsi="宋体" w:eastAsia="仿宋_GB2312"/>
          <w:sz w:val="32"/>
          <w:szCs w:val="28"/>
          <w:lang w:val="zh-CN"/>
        </w:rPr>
        <w:t>之间，占比达55.6%；22批次产品甲醛释放量在0.0</w:t>
      </w:r>
      <w:r>
        <w:rPr>
          <w:rFonts w:ascii="仿宋_GB2312" w:hAnsi="宋体" w:eastAsia="仿宋_GB2312"/>
          <w:sz w:val="32"/>
          <w:szCs w:val="28"/>
          <w:lang w:val="zh-CN"/>
        </w:rPr>
        <w:t>8</w:t>
      </w:r>
      <w:r>
        <w:rPr>
          <w:rFonts w:hint="eastAsia"/>
          <w:sz w:val="18"/>
          <w:szCs w:val="18"/>
        </w:rPr>
        <w:t>～</w:t>
      </w:r>
      <w:r>
        <w:rPr>
          <w:rFonts w:hint="eastAsia" w:ascii="仿宋_GB2312" w:hAnsi="宋体" w:eastAsia="仿宋_GB2312"/>
          <w:sz w:val="32"/>
          <w:szCs w:val="28"/>
          <w:lang w:val="zh-CN"/>
        </w:rPr>
        <w:t>0.124mg/m</w:t>
      </w:r>
      <w:r>
        <w:rPr>
          <w:rFonts w:hint="eastAsia" w:ascii="仿宋_GB2312" w:hAnsi="宋体" w:eastAsia="仿宋_GB2312"/>
          <w:sz w:val="32"/>
          <w:szCs w:val="28"/>
          <w:vertAlign w:val="superscript"/>
          <w:lang w:val="zh-CN"/>
        </w:rPr>
        <w:t>3</w:t>
      </w:r>
      <w:r>
        <w:rPr>
          <w:rFonts w:hint="eastAsia" w:ascii="仿宋_GB2312" w:hAnsi="宋体" w:eastAsia="仿宋_GB2312"/>
          <w:sz w:val="32"/>
          <w:szCs w:val="28"/>
          <w:lang w:val="zh-CN"/>
        </w:rPr>
        <w:t>之间，占比达14.6%；3批次产品甲醛释放量大于0.124mg/m</w:t>
      </w:r>
      <w:r>
        <w:rPr>
          <w:rFonts w:hint="eastAsia" w:ascii="仿宋_GB2312" w:hAnsi="宋体" w:eastAsia="仿宋_GB2312"/>
          <w:sz w:val="32"/>
          <w:szCs w:val="28"/>
          <w:vertAlign w:val="superscript"/>
          <w:lang w:val="zh-CN"/>
        </w:rPr>
        <w:t>3</w:t>
      </w:r>
      <w:r>
        <w:rPr>
          <w:rFonts w:hint="eastAsia" w:ascii="仿宋_GB2312" w:hAnsi="宋体" w:eastAsia="仿宋_GB2312"/>
          <w:sz w:val="32"/>
          <w:szCs w:val="28"/>
          <w:lang w:val="zh-CN"/>
        </w:rPr>
        <w:t>，占比2.0%。其中，广西壮象木业有限公司等10家大中型企业生产的25批次细木工板甲醛释放量检测平均值为0.037mg/m</w:t>
      </w:r>
      <w:r>
        <w:rPr>
          <w:rFonts w:hint="eastAsia" w:ascii="仿宋_GB2312" w:hAnsi="宋体" w:eastAsia="仿宋_GB2312"/>
          <w:sz w:val="32"/>
          <w:szCs w:val="28"/>
          <w:vertAlign w:val="superscript"/>
          <w:lang w:val="zh-CN"/>
        </w:rPr>
        <w:t>3</w:t>
      </w:r>
      <w:r>
        <w:rPr>
          <w:rFonts w:hint="eastAsia" w:ascii="仿宋_GB2312" w:hAnsi="宋体" w:eastAsia="仿宋_GB2312"/>
          <w:sz w:val="32"/>
          <w:szCs w:val="28"/>
          <w:lang w:val="zh-CN"/>
        </w:rPr>
        <w:t>，规模较小的企业生产的112批次细木工板甲醛释放量检测平均值为0.057mg/m</w:t>
      </w:r>
      <w:r>
        <w:rPr>
          <w:rFonts w:hint="eastAsia" w:ascii="仿宋_GB2312" w:hAnsi="宋体" w:eastAsia="仿宋_GB2312"/>
          <w:sz w:val="32"/>
          <w:szCs w:val="28"/>
          <w:vertAlign w:val="superscript"/>
          <w:lang w:val="zh-CN"/>
        </w:rPr>
        <w:t>3</w:t>
      </w:r>
      <w:r>
        <w:rPr>
          <w:rFonts w:hint="eastAsia" w:ascii="仿宋_GB2312" w:hAnsi="宋体" w:eastAsia="仿宋_GB2312"/>
          <w:sz w:val="32"/>
          <w:szCs w:val="28"/>
          <w:lang w:val="zh-CN"/>
        </w:rPr>
        <w:t>，大规模企业检测平均值较小规模企业检测平均值低35.1%。</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在此基础上，近</w:t>
      </w:r>
      <w:r>
        <w:rPr>
          <w:rFonts w:ascii="仿宋_GB2312" w:hAnsi="宋体" w:eastAsia="仿宋_GB2312"/>
          <w:sz w:val="32"/>
          <w:szCs w:val="28"/>
          <w:lang w:val="zh-CN"/>
        </w:rPr>
        <w:t>两年</w:t>
      </w:r>
      <w:r>
        <w:rPr>
          <w:rFonts w:hint="eastAsia" w:ascii="仿宋_GB2312" w:hAnsi="宋体" w:eastAsia="仿宋_GB2312"/>
          <w:sz w:val="32"/>
          <w:szCs w:val="28"/>
          <w:lang w:val="zh-CN"/>
        </w:rPr>
        <w:t>广西壮象木业有限公司、广西</w:t>
      </w:r>
      <w:r>
        <w:rPr>
          <w:rFonts w:ascii="仿宋_GB2312" w:hAnsi="宋体" w:eastAsia="仿宋_GB2312"/>
          <w:sz w:val="32"/>
          <w:szCs w:val="28"/>
          <w:lang w:val="zh-CN"/>
        </w:rPr>
        <w:t>南宁</w:t>
      </w:r>
      <w:r>
        <w:rPr>
          <w:rFonts w:hint="eastAsia" w:ascii="仿宋_GB2312" w:hAnsi="宋体" w:eastAsia="仿宋_GB2312"/>
          <w:sz w:val="32"/>
          <w:szCs w:val="28"/>
          <w:lang w:val="zh-CN"/>
        </w:rPr>
        <w:t>明源木业有限公司等企业对张细木工板进行产品质量检验，其</w:t>
      </w:r>
      <w:r>
        <w:rPr>
          <w:rFonts w:ascii="仿宋_GB2312" w:hAnsi="宋体" w:eastAsia="仿宋_GB2312"/>
          <w:sz w:val="32"/>
          <w:szCs w:val="28"/>
          <w:lang w:val="zh-CN"/>
        </w:rPr>
        <w:t>所细木工板</w:t>
      </w:r>
      <w:r>
        <w:rPr>
          <w:rFonts w:hint="eastAsia" w:ascii="仿宋_GB2312" w:hAnsi="宋体" w:eastAsia="仿宋_GB2312"/>
          <w:sz w:val="32"/>
          <w:szCs w:val="28"/>
          <w:lang w:val="zh-CN"/>
        </w:rPr>
        <w:t>产品</w:t>
      </w:r>
      <w:r>
        <w:rPr>
          <w:rFonts w:ascii="仿宋_GB2312" w:hAnsi="宋体" w:eastAsia="仿宋_GB2312"/>
          <w:sz w:val="32"/>
          <w:szCs w:val="28"/>
          <w:lang w:val="zh-CN"/>
        </w:rPr>
        <w:t>甲醛释放量检验</w:t>
      </w:r>
      <w:r>
        <w:rPr>
          <w:rFonts w:hint="eastAsia" w:ascii="仿宋_GB2312" w:hAnsi="宋体" w:eastAsia="仿宋_GB2312"/>
          <w:sz w:val="32"/>
          <w:szCs w:val="28"/>
          <w:lang w:val="zh-CN"/>
        </w:rPr>
        <w:t>结果如表</w:t>
      </w:r>
      <w:r>
        <w:rPr>
          <w:rFonts w:ascii="仿宋_GB2312" w:hAnsi="宋体" w:eastAsia="仿宋_GB2312"/>
          <w:sz w:val="32"/>
          <w:szCs w:val="28"/>
          <w:lang w:val="zh-CN"/>
        </w:rPr>
        <w:t>3</w:t>
      </w:r>
      <w:r>
        <w:rPr>
          <w:rFonts w:hint="eastAsia" w:ascii="仿宋_GB2312" w:hAnsi="宋体" w:eastAsia="仿宋_GB2312"/>
          <w:sz w:val="32"/>
          <w:szCs w:val="28"/>
          <w:lang w:val="zh-CN"/>
        </w:rPr>
        <w:t>、</w:t>
      </w:r>
      <w:r>
        <w:rPr>
          <w:rFonts w:ascii="仿宋_GB2312" w:hAnsi="宋体" w:eastAsia="仿宋_GB2312"/>
          <w:sz w:val="32"/>
          <w:szCs w:val="28"/>
          <w:lang w:val="zh-CN"/>
        </w:rPr>
        <w:t>表4</w:t>
      </w:r>
      <w:r>
        <w:rPr>
          <w:rFonts w:hint="eastAsia" w:ascii="仿宋_GB2312" w:hAnsi="宋体" w:eastAsia="仿宋_GB2312"/>
          <w:sz w:val="32"/>
          <w:szCs w:val="28"/>
          <w:lang w:val="zh-CN"/>
        </w:rPr>
        <w:t>所示。</w:t>
      </w:r>
    </w:p>
    <w:p>
      <w:pPr>
        <w:pStyle w:val="39"/>
        <w:spacing w:before="156" w:after="156"/>
        <w:rPr>
          <w:rFonts w:hAnsi="黑体"/>
          <w:szCs w:val="21"/>
        </w:rPr>
      </w:pPr>
      <w:r>
        <w:rPr>
          <w:rFonts w:hint="eastAsia" w:hAnsi="黑体"/>
          <w:szCs w:val="21"/>
        </w:rPr>
        <w:t>广西细木工板产品甲醛释放量检验结果</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8"/>
        <w:gridCol w:w="1316"/>
        <w:gridCol w:w="1287"/>
        <w:gridCol w:w="1275"/>
        <w:gridCol w:w="1239"/>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8" w:type="dxa"/>
            <w:vMerge w:val="restart"/>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项目</w:t>
            </w:r>
          </w:p>
        </w:tc>
        <w:tc>
          <w:tcPr>
            <w:tcW w:w="6368" w:type="dxa"/>
            <w:gridSpan w:val="5"/>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企业1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dxa"/>
            <w:vMerge w:val="continue"/>
            <w:vAlign w:val="center"/>
          </w:tcPr>
          <w:p>
            <w:pPr>
              <w:widowControl/>
              <w:shd w:val="clear" w:color="auto" w:fill="FFFFFF"/>
              <w:jc w:val="center"/>
              <w:rPr>
                <w:rFonts w:ascii="仿宋" w:hAnsi="仿宋" w:eastAsia="仿宋"/>
                <w:kern w:val="0"/>
                <w:sz w:val="18"/>
                <w:szCs w:val="18"/>
              </w:rPr>
            </w:pPr>
          </w:p>
        </w:tc>
        <w:tc>
          <w:tcPr>
            <w:tcW w:w="1316"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w:t>
            </w:r>
          </w:p>
        </w:tc>
        <w:tc>
          <w:tcPr>
            <w:tcW w:w="1287"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w:t>
            </w:r>
          </w:p>
        </w:tc>
        <w:tc>
          <w:tcPr>
            <w:tcW w:w="1275"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3</w:t>
            </w:r>
          </w:p>
        </w:tc>
        <w:tc>
          <w:tcPr>
            <w:tcW w:w="1239"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4</w:t>
            </w:r>
          </w:p>
        </w:tc>
        <w:tc>
          <w:tcPr>
            <w:tcW w:w="1251"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甲醛释放限量</w:t>
            </w:r>
          </w:p>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（1m</w:t>
            </w:r>
            <w:r>
              <w:rPr>
                <w:rFonts w:hint="eastAsia" w:ascii="仿宋" w:hAnsi="仿宋" w:eastAsia="仿宋"/>
                <w:kern w:val="0"/>
                <w:sz w:val="18"/>
                <w:szCs w:val="18"/>
                <w:vertAlign w:val="superscript"/>
              </w:rPr>
              <w:t>3</w:t>
            </w:r>
            <w:r>
              <w:rPr>
                <w:rFonts w:hint="eastAsia" w:ascii="仿宋" w:hAnsi="仿宋" w:eastAsia="仿宋"/>
                <w:kern w:val="0"/>
                <w:sz w:val="18"/>
                <w:szCs w:val="18"/>
              </w:rPr>
              <w:t>气候箱法）</w:t>
            </w:r>
          </w:p>
          <w:p>
            <w:pPr>
              <w:widowControl/>
              <w:shd w:val="clear" w:color="auto" w:fill="FFFFFF"/>
              <w:jc w:val="center"/>
              <w:rPr>
                <w:rFonts w:ascii="仿宋" w:hAnsi="仿宋" w:eastAsia="仿宋"/>
                <w:kern w:val="0"/>
                <w:sz w:val="18"/>
                <w:szCs w:val="18"/>
              </w:rPr>
            </w:pPr>
            <w:r>
              <w:rPr>
                <w:rFonts w:ascii="仿宋" w:hAnsi="仿宋" w:eastAsia="仿宋"/>
                <w:kern w:val="0"/>
                <w:sz w:val="18"/>
                <w:szCs w:val="18"/>
              </w:rPr>
              <w:t>mg/m</w:t>
            </w:r>
            <w:r>
              <w:rPr>
                <w:rFonts w:ascii="仿宋" w:hAnsi="仿宋" w:eastAsia="仿宋"/>
                <w:kern w:val="0"/>
                <w:sz w:val="18"/>
                <w:szCs w:val="18"/>
                <w:vertAlign w:val="superscript"/>
              </w:rPr>
              <w:t>3</w:t>
            </w:r>
          </w:p>
        </w:tc>
        <w:tc>
          <w:tcPr>
            <w:tcW w:w="1316" w:type="dxa"/>
            <w:vAlign w:val="center"/>
          </w:tcPr>
          <w:p>
            <w:pPr>
              <w:jc w:val="center"/>
              <w:rPr>
                <w:rFonts w:ascii="仿宋" w:hAnsi="仿宋" w:eastAsia="仿宋"/>
                <w:kern w:val="0"/>
                <w:sz w:val="18"/>
                <w:szCs w:val="18"/>
              </w:rPr>
            </w:pPr>
            <w:r>
              <w:rPr>
                <w:rFonts w:hint="eastAsia" w:ascii="仿宋" w:hAnsi="仿宋" w:eastAsia="仿宋"/>
                <w:kern w:val="0"/>
                <w:sz w:val="18"/>
                <w:szCs w:val="18"/>
              </w:rPr>
              <w:t>0.017</w:t>
            </w:r>
          </w:p>
        </w:tc>
        <w:tc>
          <w:tcPr>
            <w:tcW w:w="1287" w:type="dxa"/>
            <w:vAlign w:val="center"/>
          </w:tcPr>
          <w:p>
            <w:pPr>
              <w:jc w:val="center"/>
              <w:rPr>
                <w:rFonts w:ascii="仿宋" w:hAnsi="仿宋" w:eastAsia="仿宋"/>
                <w:kern w:val="0"/>
                <w:sz w:val="18"/>
                <w:szCs w:val="18"/>
              </w:rPr>
            </w:pPr>
            <w:r>
              <w:rPr>
                <w:rFonts w:hint="eastAsia" w:ascii="仿宋" w:hAnsi="仿宋" w:eastAsia="仿宋"/>
                <w:kern w:val="0"/>
                <w:sz w:val="18"/>
                <w:szCs w:val="18"/>
              </w:rPr>
              <w:t>0</w:t>
            </w:r>
            <w:r>
              <w:rPr>
                <w:rFonts w:ascii="仿宋" w:hAnsi="仿宋" w:eastAsia="仿宋"/>
                <w:kern w:val="0"/>
                <w:sz w:val="18"/>
                <w:szCs w:val="18"/>
              </w:rPr>
              <w:t>.013</w:t>
            </w:r>
          </w:p>
        </w:tc>
        <w:tc>
          <w:tcPr>
            <w:tcW w:w="1275" w:type="dxa"/>
            <w:vAlign w:val="center"/>
          </w:tcPr>
          <w:p>
            <w:pPr>
              <w:jc w:val="center"/>
              <w:rPr>
                <w:rFonts w:ascii="仿宋" w:hAnsi="仿宋" w:eastAsia="仿宋"/>
                <w:kern w:val="0"/>
                <w:sz w:val="18"/>
                <w:szCs w:val="18"/>
              </w:rPr>
            </w:pPr>
            <w:r>
              <w:rPr>
                <w:rFonts w:hint="eastAsia" w:ascii="仿宋" w:hAnsi="仿宋" w:eastAsia="仿宋"/>
                <w:kern w:val="0"/>
                <w:sz w:val="18"/>
                <w:szCs w:val="18"/>
              </w:rPr>
              <w:t>0</w:t>
            </w:r>
            <w:r>
              <w:rPr>
                <w:rFonts w:ascii="仿宋" w:hAnsi="仿宋" w:eastAsia="仿宋"/>
                <w:kern w:val="0"/>
                <w:sz w:val="18"/>
                <w:szCs w:val="18"/>
              </w:rPr>
              <w:t>.032</w:t>
            </w:r>
            <w:r>
              <w:rPr>
                <w:rFonts w:hint="eastAsia" w:ascii="仿宋" w:hAnsi="仿宋" w:eastAsia="仿宋"/>
                <w:kern w:val="0"/>
                <w:sz w:val="18"/>
                <w:szCs w:val="18"/>
              </w:rPr>
              <w:t>（7</w:t>
            </w:r>
            <w:r>
              <w:rPr>
                <w:rFonts w:ascii="仿宋" w:hAnsi="仿宋" w:eastAsia="仿宋"/>
                <w:kern w:val="0"/>
                <w:sz w:val="18"/>
                <w:szCs w:val="18"/>
              </w:rPr>
              <w:t>8h</w:t>
            </w:r>
            <w:r>
              <w:rPr>
                <w:rFonts w:hint="eastAsia" w:ascii="仿宋" w:hAnsi="仿宋" w:eastAsia="仿宋"/>
                <w:kern w:val="0"/>
                <w:sz w:val="18"/>
                <w:szCs w:val="18"/>
              </w:rPr>
              <w:t>）</w:t>
            </w:r>
          </w:p>
        </w:tc>
        <w:tc>
          <w:tcPr>
            <w:tcW w:w="1239" w:type="dxa"/>
            <w:vAlign w:val="center"/>
          </w:tcPr>
          <w:p>
            <w:pPr>
              <w:jc w:val="center"/>
              <w:rPr>
                <w:rFonts w:ascii="仿宋" w:hAnsi="仿宋" w:eastAsia="仿宋"/>
                <w:kern w:val="0"/>
                <w:sz w:val="18"/>
                <w:szCs w:val="18"/>
              </w:rPr>
            </w:pPr>
            <w:r>
              <w:rPr>
                <w:rFonts w:hint="eastAsia" w:ascii="仿宋" w:hAnsi="仿宋" w:eastAsia="仿宋"/>
                <w:kern w:val="0"/>
                <w:sz w:val="18"/>
                <w:szCs w:val="18"/>
              </w:rPr>
              <w:t>0.26</w:t>
            </w:r>
          </w:p>
        </w:tc>
        <w:tc>
          <w:tcPr>
            <w:tcW w:w="1251" w:type="dxa"/>
            <w:vAlign w:val="center"/>
          </w:tcPr>
          <w:p>
            <w:pPr>
              <w:jc w:val="center"/>
              <w:rPr>
                <w:rFonts w:ascii="仿宋" w:hAnsi="仿宋" w:eastAsia="仿宋"/>
                <w:kern w:val="0"/>
                <w:sz w:val="18"/>
                <w:szCs w:val="18"/>
              </w:rPr>
            </w:pPr>
            <w:r>
              <w:rPr>
                <w:rFonts w:hint="eastAsia" w:ascii="仿宋" w:hAnsi="仿宋" w:eastAsia="仿宋"/>
                <w:kern w:val="0"/>
                <w:sz w:val="18"/>
                <w:szCs w:val="18"/>
              </w:rPr>
              <w:t>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dxa"/>
            <w:vMerge w:val="restart"/>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项目</w:t>
            </w:r>
          </w:p>
        </w:tc>
        <w:tc>
          <w:tcPr>
            <w:tcW w:w="6368" w:type="dxa"/>
            <w:gridSpan w:val="5"/>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企业</w:t>
            </w:r>
            <w:r>
              <w:rPr>
                <w:rFonts w:ascii="仿宋" w:hAnsi="仿宋" w:eastAsia="仿宋"/>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dxa"/>
            <w:vMerge w:val="continue"/>
            <w:vAlign w:val="center"/>
          </w:tcPr>
          <w:p>
            <w:pPr>
              <w:widowControl/>
              <w:shd w:val="clear" w:color="auto" w:fill="FFFFFF"/>
              <w:jc w:val="center"/>
              <w:rPr>
                <w:rFonts w:ascii="仿宋" w:hAnsi="仿宋" w:eastAsia="仿宋"/>
                <w:kern w:val="0"/>
                <w:sz w:val="18"/>
                <w:szCs w:val="18"/>
              </w:rPr>
            </w:pPr>
          </w:p>
        </w:tc>
        <w:tc>
          <w:tcPr>
            <w:tcW w:w="1316"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w:t>
            </w:r>
          </w:p>
        </w:tc>
        <w:tc>
          <w:tcPr>
            <w:tcW w:w="1287"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w:t>
            </w:r>
          </w:p>
        </w:tc>
        <w:tc>
          <w:tcPr>
            <w:tcW w:w="1275"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3</w:t>
            </w:r>
          </w:p>
        </w:tc>
        <w:tc>
          <w:tcPr>
            <w:tcW w:w="1239"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4</w:t>
            </w:r>
          </w:p>
        </w:tc>
        <w:tc>
          <w:tcPr>
            <w:tcW w:w="1251"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甲醛释放限量</w:t>
            </w:r>
          </w:p>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（1m</w:t>
            </w:r>
            <w:r>
              <w:rPr>
                <w:rFonts w:hint="eastAsia" w:ascii="仿宋" w:hAnsi="仿宋" w:eastAsia="仿宋"/>
                <w:kern w:val="0"/>
                <w:sz w:val="18"/>
                <w:szCs w:val="18"/>
                <w:vertAlign w:val="superscript"/>
              </w:rPr>
              <w:t>3</w:t>
            </w:r>
            <w:r>
              <w:rPr>
                <w:rFonts w:hint="eastAsia" w:ascii="仿宋" w:hAnsi="仿宋" w:eastAsia="仿宋"/>
                <w:kern w:val="0"/>
                <w:sz w:val="18"/>
                <w:szCs w:val="18"/>
              </w:rPr>
              <w:t>气候箱法）</w:t>
            </w:r>
          </w:p>
          <w:p>
            <w:pPr>
              <w:widowControl/>
              <w:shd w:val="clear" w:color="auto" w:fill="FFFFFF"/>
              <w:jc w:val="center"/>
              <w:rPr>
                <w:rFonts w:ascii="仿宋" w:hAnsi="仿宋" w:eastAsia="仿宋"/>
                <w:kern w:val="0"/>
                <w:sz w:val="18"/>
                <w:szCs w:val="18"/>
              </w:rPr>
            </w:pPr>
            <w:r>
              <w:rPr>
                <w:rFonts w:ascii="仿宋" w:hAnsi="仿宋" w:eastAsia="仿宋"/>
                <w:kern w:val="0"/>
                <w:sz w:val="18"/>
                <w:szCs w:val="18"/>
              </w:rPr>
              <w:t>mg/m</w:t>
            </w:r>
            <w:r>
              <w:rPr>
                <w:rFonts w:ascii="仿宋" w:hAnsi="仿宋" w:eastAsia="仿宋"/>
                <w:kern w:val="0"/>
                <w:sz w:val="18"/>
                <w:szCs w:val="18"/>
                <w:vertAlign w:val="superscript"/>
              </w:rPr>
              <w:t>3</w:t>
            </w:r>
          </w:p>
        </w:tc>
        <w:tc>
          <w:tcPr>
            <w:tcW w:w="1316" w:type="dxa"/>
            <w:vAlign w:val="center"/>
          </w:tcPr>
          <w:p>
            <w:pPr>
              <w:jc w:val="center"/>
              <w:rPr>
                <w:rFonts w:ascii="仿宋" w:hAnsi="仿宋" w:eastAsia="仿宋"/>
                <w:kern w:val="0"/>
                <w:sz w:val="18"/>
                <w:szCs w:val="18"/>
              </w:rPr>
            </w:pPr>
            <w:r>
              <w:rPr>
                <w:rFonts w:hint="eastAsia" w:ascii="仿宋" w:hAnsi="仿宋" w:eastAsia="仿宋"/>
                <w:kern w:val="0"/>
                <w:sz w:val="18"/>
                <w:szCs w:val="18"/>
              </w:rPr>
              <w:t>0.035</w:t>
            </w:r>
          </w:p>
        </w:tc>
        <w:tc>
          <w:tcPr>
            <w:tcW w:w="1287" w:type="dxa"/>
            <w:vAlign w:val="center"/>
          </w:tcPr>
          <w:p>
            <w:pPr>
              <w:jc w:val="center"/>
              <w:rPr>
                <w:rFonts w:ascii="仿宋" w:hAnsi="仿宋" w:eastAsia="仿宋"/>
                <w:kern w:val="0"/>
                <w:sz w:val="18"/>
                <w:szCs w:val="18"/>
              </w:rPr>
            </w:pPr>
            <w:r>
              <w:rPr>
                <w:rFonts w:hint="eastAsia" w:ascii="仿宋" w:hAnsi="仿宋" w:eastAsia="仿宋"/>
                <w:kern w:val="0"/>
                <w:sz w:val="18"/>
                <w:szCs w:val="18"/>
              </w:rPr>
              <w:t>0.021</w:t>
            </w:r>
          </w:p>
        </w:tc>
        <w:tc>
          <w:tcPr>
            <w:tcW w:w="1275" w:type="dxa"/>
            <w:vAlign w:val="center"/>
          </w:tcPr>
          <w:p>
            <w:pPr>
              <w:jc w:val="center"/>
              <w:rPr>
                <w:rFonts w:ascii="仿宋" w:hAnsi="仿宋" w:eastAsia="仿宋"/>
                <w:kern w:val="0"/>
                <w:sz w:val="18"/>
                <w:szCs w:val="18"/>
              </w:rPr>
            </w:pPr>
            <w:r>
              <w:rPr>
                <w:rFonts w:hint="eastAsia" w:ascii="仿宋" w:hAnsi="仿宋" w:eastAsia="仿宋"/>
                <w:kern w:val="0"/>
                <w:sz w:val="18"/>
                <w:szCs w:val="18"/>
              </w:rPr>
              <w:t>0.016</w:t>
            </w:r>
          </w:p>
        </w:tc>
        <w:tc>
          <w:tcPr>
            <w:tcW w:w="1239" w:type="dxa"/>
            <w:vAlign w:val="center"/>
          </w:tcPr>
          <w:p>
            <w:pPr>
              <w:jc w:val="center"/>
              <w:rPr>
                <w:rFonts w:ascii="仿宋" w:hAnsi="仿宋" w:eastAsia="仿宋"/>
                <w:kern w:val="0"/>
                <w:sz w:val="18"/>
                <w:szCs w:val="18"/>
              </w:rPr>
            </w:pPr>
            <w:r>
              <w:rPr>
                <w:rFonts w:ascii="仿宋" w:hAnsi="仿宋" w:eastAsia="仿宋"/>
                <w:kern w:val="0"/>
                <w:sz w:val="18"/>
                <w:szCs w:val="18"/>
              </w:rPr>
              <w:t>0.052</w:t>
            </w:r>
          </w:p>
        </w:tc>
        <w:tc>
          <w:tcPr>
            <w:tcW w:w="1251" w:type="dxa"/>
            <w:vAlign w:val="center"/>
          </w:tcPr>
          <w:p>
            <w:pPr>
              <w:jc w:val="center"/>
              <w:rPr>
                <w:rFonts w:ascii="仿宋" w:hAnsi="仿宋" w:eastAsia="仿宋"/>
                <w:kern w:val="0"/>
                <w:sz w:val="18"/>
                <w:szCs w:val="18"/>
              </w:rPr>
            </w:pPr>
            <w:r>
              <w:rPr>
                <w:rFonts w:hint="eastAsia" w:ascii="仿宋" w:hAnsi="仿宋" w:eastAsia="仿宋"/>
                <w:kern w:val="0"/>
                <w:sz w:val="18"/>
                <w:szCs w:val="18"/>
              </w:rPr>
              <w:t>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dxa"/>
            <w:vMerge w:val="restart"/>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项目</w:t>
            </w:r>
          </w:p>
        </w:tc>
        <w:tc>
          <w:tcPr>
            <w:tcW w:w="6368" w:type="dxa"/>
            <w:gridSpan w:val="5"/>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企业</w:t>
            </w:r>
            <w:r>
              <w:rPr>
                <w:rFonts w:ascii="仿宋" w:hAnsi="仿宋" w:eastAsia="仿宋"/>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dxa"/>
            <w:vMerge w:val="continue"/>
            <w:vAlign w:val="center"/>
          </w:tcPr>
          <w:p>
            <w:pPr>
              <w:widowControl/>
              <w:shd w:val="clear" w:color="auto" w:fill="FFFFFF"/>
              <w:jc w:val="center"/>
              <w:rPr>
                <w:rFonts w:ascii="仿宋" w:hAnsi="仿宋" w:eastAsia="仿宋"/>
                <w:kern w:val="0"/>
                <w:sz w:val="18"/>
                <w:szCs w:val="18"/>
              </w:rPr>
            </w:pPr>
          </w:p>
        </w:tc>
        <w:tc>
          <w:tcPr>
            <w:tcW w:w="1316"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w:t>
            </w:r>
          </w:p>
        </w:tc>
        <w:tc>
          <w:tcPr>
            <w:tcW w:w="1287"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w:t>
            </w:r>
          </w:p>
        </w:tc>
        <w:tc>
          <w:tcPr>
            <w:tcW w:w="1275"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3</w:t>
            </w:r>
          </w:p>
        </w:tc>
        <w:tc>
          <w:tcPr>
            <w:tcW w:w="1239"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4</w:t>
            </w:r>
          </w:p>
        </w:tc>
        <w:tc>
          <w:tcPr>
            <w:tcW w:w="1251"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dxa"/>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甲醛释放限量</w:t>
            </w:r>
          </w:p>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（1m</w:t>
            </w:r>
            <w:r>
              <w:rPr>
                <w:rFonts w:hint="eastAsia" w:ascii="仿宋" w:hAnsi="仿宋" w:eastAsia="仿宋"/>
                <w:kern w:val="0"/>
                <w:sz w:val="18"/>
                <w:szCs w:val="18"/>
                <w:vertAlign w:val="superscript"/>
              </w:rPr>
              <w:t>3</w:t>
            </w:r>
            <w:r>
              <w:rPr>
                <w:rFonts w:hint="eastAsia" w:ascii="仿宋" w:hAnsi="仿宋" w:eastAsia="仿宋"/>
                <w:kern w:val="0"/>
                <w:sz w:val="18"/>
                <w:szCs w:val="18"/>
              </w:rPr>
              <w:t>气候箱法）</w:t>
            </w:r>
          </w:p>
          <w:p>
            <w:pPr>
              <w:widowControl/>
              <w:shd w:val="clear" w:color="auto" w:fill="FFFFFF"/>
              <w:jc w:val="center"/>
              <w:rPr>
                <w:rFonts w:ascii="仿宋" w:hAnsi="仿宋" w:eastAsia="仿宋"/>
                <w:kern w:val="0"/>
                <w:sz w:val="18"/>
                <w:szCs w:val="18"/>
              </w:rPr>
            </w:pPr>
            <w:r>
              <w:rPr>
                <w:rFonts w:ascii="仿宋" w:hAnsi="仿宋" w:eastAsia="仿宋"/>
                <w:kern w:val="0"/>
                <w:sz w:val="18"/>
                <w:szCs w:val="18"/>
              </w:rPr>
              <w:t>mg/m</w:t>
            </w:r>
            <w:r>
              <w:rPr>
                <w:rFonts w:ascii="仿宋" w:hAnsi="仿宋" w:eastAsia="仿宋"/>
                <w:kern w:val="0"/>
                <w:sz w:val="18"/>
                <w:szCs w:val="18"/>
                <w:vertAlign w:val="superscript"/>
              </w:rPr>
              <w:t>3</w:t>
            </w:r>
          </w:p>
        </w:tc>
        <w:tc>
          <w:tcPr>
            <w:tcW w:w="1316" w:type="dxa"/>
            <w:vAlign w:val="center"/>
          </w:tcPr>
          <w:p>
            <w:pPr>
              <w:jc w:val="center"/>
              <w:rPr>
                <w:rFonts w:ascii="仿宋" w:hAnsi="仿宋" w:eastAsia="仿宋"/>
                <w:kern w:val="0"/>
                <w:sz w:val="18"/>
                <w:szCs w:val="18"/>
              </w:rPr>
            </w:pPr>
            <w:r>
              <w:rPr>
                <w:rFonts w:hint="eastAsia" w:ascii="仿宋" w:hAnsi="仿宋" w:eastAsia="仿宋"/>
                <w:kern w:val="0"/>
                <w:sz w:val="18"/>
                <w:szCs w:val="18"/>
              </w:rPr>
              <w:t>0.063</w:t>
            </w:r>
          </w:p>
        </w:tc>
        <w:tc>
          <w:tcPr>
            <w:tcW w:w="1287" w:type="dxa"/>
            <w:vAlign w:val="center"/>
          </w:tcPr>
          <w:p>
            <w:pPr>
              <w:jc w:val="center"/>
              <w:rPr>
                <w:rFonts w:ascii="仿宋" w:hAnsi="仿宋" w:eastAsia="仿宋"/>
                <w:kern w:val="0"/>
                <w:sz w:val="18"/>
                <w:szCs w:val="18"/>
              </w:rPr>
            </w:pPr>
            <w:r>
              <w:rPr>
                <w:rFonts w:hint="eastAsia" w:ascii="仿宋" w:hAnsi="仿宋" w:eastAsia="仿宋"/>
                <w:kern w:val="0"/>
                <w:sz w:val="18"/>
                <w:szCs w:val="18"/>
              </w:rPr>
              <w:t>0.0</w:t>
            </w:r>
            <w:r>
              <w:rPr>
                <w:rFonts w:ascii="仿宋" w:hAnsi="仿宋" w:eastAsia="仿宋"/>
                <w:kern w:val="0"/>
                <w:sz w:val="18"/>
                <w:szCs w:val="18"/>
              </w:rPr>
              <w:t>97</w:t>
            </w:r>
          </w:p>
        </w:tc>
        <w:tc>
          <w:tcPr>
            <w:tcW w:w="1275" w:type="dxa"/>
            <w:vAlign w:val="center"/>
          </w:tcPr>
          <w:p>
            <w:pPr>
              <w:jc w:val="center"/>
              <w:rPr>
                <w:rFonts w:ascii="仿宋" w:hAnsi="仿宋" w:eastAsia="仿宋"/>
                <w:kern w:val="0"/>
                <w:sz w:val="18"/>
                <w:szCs w:val="18"/>
              </w:rPr>
            </w:pPr>
            <w:r>
              <w:rPr>
                <w:rFonts w:hint="eastAsia" w:ascii="仿宋" w:hAnsi="仿宋" w:eastAsia="仿宋"/>
                <w:kern w:val="0"/>
                <w:sz w:val="18"/>
                <w:szCs w:val="18"/>
              </w:rPr>
              <w:t>0.122</w:t>
            </w:r>
          </w:p>
        </w:tc>
        <w:tc>
          <w:tcPr>
            <w:tcW w:w="1239" w:type="dxa"/>
            <w:vAlign w:val="center"/>
          </w:tcPr>
          <w:p>
            <w:pPr>
              <w:jc w:val="center"/>
              <w:rPr>
                <w:rFonts w:ascii="仿宋" w:hAnsi="仿宋" w:eastAsia="仿宋"/>
                <w:kern w:val="0"/>
                <w:sz w:val="18"/>
                <w:szCs w:val="18"/>
              </w:rPr>
            </w:pPr>
          </w:p>
        </w:tc>
        <w:tc>
          <w:tcPr>
            <w:tcW w:w="1251" w:type="dxa"/>
            <w:vAlign w:val="center"/>
          </w:tcPr>
          <w:p>
            <w:pPr>
              <w:jc w:val="center"/>
              <w:rPr>
                <w:rFonts w:ascii="仿宋" w:hAnsi="仿宋" w:eastAsia="仿宋"/>
                <w:kern w:val="0"/>
                <w:sz w:val="18"/>
                <w:szCs w:val="18"/>
              </w:rPr>
            </w:pPr>
          </w:p>
        </w:tc>
      </w:tr>
    </w:tbl>
    <w:p/>
    <w:p>
      <w:pPr>
        <w:pStyle w:val="39"/>
        <w:spacing w:before="156" w:after="156"/>
        <w:rPr>
          <w:rFonts w:hAnsi="黑体"/>
          <w:szCs w:val="21"/>
        </w:rPr>
      </w:pPr>
      <w:r>
        <w:rPr>
          <w:rFonts w:hint="eastAsia" w:hAnsi="黑体"/>
          <w:szCs w:val="21"/>
        </w:rPr>
        <w:t>企业2细木工板产品甲醛释放量自检结果</w:t>
      </w:r>
    </w:p>
    <w:tbl>
      <w:tblPr>
        <w:tblStyle w:val="8"/>
        <w:tblW w:w="8359" w:type="dxa"/>
        <w:tblInd w:w="0" w:type="dxa"/>
        <w:tblLayout w:type="autofit"/>
        <w:tblCellMar>
          <w:top w:w="0" w:type="dxa"/>
          <w:left w:w="108" w:type="dxa"/>
          <w:bottom w:w="0" w:type="dxa"/>
          <w:right w:w="108" w:type="dxa"/>
        </w:tblCellMar>
      </w:tblPr>
      <w:tblGrid>
        <w:gridCol w:w="1080"/>
        <w:gridCol w:w="3026"/>
        <w:gridCol w:w="1843"/>
        <w:gridCol w:w="2410"/>
      </w:tblGrid>
      <w:tr>
        <w:tblPrEx>
          <w:tblCellMar>
            <w:top w:w="0" w:type="dxa"/>
            <w:left w:w="108" w:type="dxa"/>
            <w:bottom w:w="0" w:type="dxa"/>
            <w:right w:w="108" w:type="dxa"/>
          </w:tblCellMar>
        </w:tblPrEx>
        <w:trPr>
          <w:trHeight w:val="270" w:hRule="atLeast"/>
          <w:tblHeader/>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序号</w:t>
            </w:r>
          </w:p>
        </w:tc>
        <w:tc>
          <w:tcPr>
            <w:tcW w:w="30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检验日期</w:t>
            </w:r>
          </w:p>
        </w:tc>
        <w:tc>
          <w:tcPr>
            <w:tcW w:w="18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评定等级</w:t>
            </w:r>
          </w:p>
        </w:tc>
        <w:tc>
          <w:tcPr>
            <w:tcW w:w="24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甲醛释放量</w:t>
            </w:r>
          </w:p>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（1m</w:t>
            </w:r>
            <w:r>
              <w:rPr>
                <w:rFonts w:hint="eastAsia" w:ascii="仿宋" w:hAnsi="仿宋" w:eastAsia="仿宋"/>
                <w:kern w:val="0"/>
                <w:sz w:val="18"/>
                <w:szCs w:val="18"/>
                <w:vertAlign w:val="superscript"/>
              </w:rPr>
              <w:t>3</w:t>
            </w:r>
            <w:r>
              <w:rPr>
                <w:rFonts w:hint="eastAsia" w:ascii="仿宋" w:hAnsi="仿宋" w:eastAsia="仿宋"/>
                <w:kern w:val="0"/>
                <w:sz w:val="18"/>
                <w:szCs w:val="18"/>
              </w:rPr>
              <w:t>气候箱法）</w:t>
            </w:r>
          </w:p>
          <w:p>
            <w:pPr>
              <w:widowControl/>
              <w:shd w:val="clear" w:color="auto" w:fill="FFFFFF"/>
              <w:jc w:val="center"/>
              <w:rPr>
                <w:rFonts w:ascii="仿宋" w:hAnsi="仿宋" w:eastAsia="仿宋"/>
                <w:kern w:val="0"/>
                <w:sz w:val="18"/>
                <w:szCs w:val="18"/>
              </w:rPr>
            </w:pPr>
            <w:r>
              <w:rPr>
                <w:rFonts w:ascii="仿宋" w:hAnsi="仿宋" w:eastAsia="仿宋"/>
                <w:kern w:val="0"/>
                <w:sz w:val="18"/>
                <w:szCs w:val="18"/>
              </w:rPr>
              <w:t>mg/m</w:t>
            </w:r>
            <w:r>
              <w:rPr>
                <w:rFonts w:ascii="仿宋" w:hAnsi="仿宋" w:eastAsia="仿宋"/>
                <w:kern w:val="0"/>
                <w:sz w:val="18"/>
                <w:szCs w:val="18"/>
                <w:vertAlign w:val="superscript"/>
              </w:rPr>
              <w:t>3</w:t>
            </w:r>
          </w:p>
        </w:tc>
      </w:tr>
      <w:tr>
        <w:tblPrEx>
          <w:tblCellMar>
            <w:top w:w="0" w:type="dxa"/>
            <w:left w:w="108" w:type="dxa"/>
            <w:bottom w:w="0" w:type="dxa"/>
            <w:right w:w="108" w:type="dxa"/>
          </w:tblCellMar>
        </w:tblPrEx>
        <w:trPr>
          <w:trHeight w:val="270" w:hRule="atLeast"/>
        </w:trPr>
        <w:tc>
          <w:tcPr>
            <w:tcW w:w="108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w:t>
            </w:r>
          </w:p>
        </w:tc>
        <w:tc>
          <w:tcPr>
            <w:tcW w:w="302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2020年1月5日</w:t>
            </w:r>
          </w:p>
        </w:tc>
        <w:tc>
          <w:tcPr>
            <w:tcW w:w="1843"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E</w:t>
            </w:r>
            <w:r>
              <w:rPr>
                <w:rFonts w:hint="eastAsia" w:ascii="仿宋" w:hAnsi="仿宋" w:eastAsia="仿宋"/>
                <w:kern w:val="0"/>
                <w:sz w:val="18"/>
                <w:szCs w:val="18"/>
                <w:vertAlign w:val="subscript"/>
              </w:rPr>
              <w:t>0</w:t>
            </w:r>
          </w:p>
        </w:tc>
        <w:tc>
          <w:tcPr>
            <w:tcW w:w="241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0.048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2020年1月11日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E</w:t>
            </w:r>
            <w:r>
              <w:rPr>
                <w:rFonts w:hint="eastAsia"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0.040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3</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2020年2月8日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0.042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4</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2020年2月13日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0.048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5</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2020年3月18日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无醛板</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0.022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6</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2020年3月25日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无醛板</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0.020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7</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2020年4月4日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E</w:t>
            </w:r>
            <w:r>
              <w:rPr>
                <w:rFonts w:hint="eastAsia"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0.042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8</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2020年4月21日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E</w:t>
            </w:r>
            <w:r>
              <w:rPr>
                <w:rFonts w:hint="eastAsia"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0.030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9</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2020年5月5日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0.037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10</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2020年5月13日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0.030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11</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2020年6月4日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无醛板</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0.022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12</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2020年6月20日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无醛板</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0.025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13</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2020年7月3日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0.033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14</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2020年7月26日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无醛板</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0.022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15</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2020年8月9日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E</w:t>
            </w:r>
            <w:r>
              <w:rPr>
                <w:rFonts w:hint="eastAsia"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0.033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16</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2020年8月22日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E</w:t>
            </w:r>
            <w:r>
              <w:rPr>
                <w:rFonts w:hint="eastAsia"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0.045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17</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2020年9月6日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0.038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18</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2020年9月15日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0.038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19</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2020年10月7日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0.045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2020年10月23日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无醛板</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0.022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21</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2020年11月8日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E</w:t>
            </w:r>
            <w:r>
              <w:rPr>
                <w:rFonts w:hint="eastAsia"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0.033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22</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2020年11月27日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E</w:t>
            </w:r>
            <w:r>
              <w:rPr>
                <w:rFonts w:hint="eastAsia"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0.030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23</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2020年12月4日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0.030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24</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2020年12月24日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0.027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25</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2021年1月3日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0.037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26</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2021年1月12日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E</w:t>
            </w:r>
            <w:r>
              <w:rPr>
                <w:rFonts w:hint="eastAsia"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0.042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27</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2021年2月1日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E</w:t>
            </w:r>
            <w:r>
              <w:rPr>
                <w:rFonts w:hint="eastAsia"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0.038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28</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2021年2月22日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0.038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29</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2021年3月11日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0.040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30</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2021年3月19日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0.050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31</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2021年4月3日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E</w:t>
            </w:r>
            <w:r>
              <w:rPr>
                <w:rFonts w:hint="eastAsia"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0.042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32</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2021年4月12日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E</w:t>
            </w:r>
            <w:r>
              <w:rPr>
                <w:rFonts w:hint="eastAsia"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0.040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33</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2021年5月11日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0.033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34</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2021年5月29日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0.030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35</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2021年6月15日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0.030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36</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2021年6月22日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0.035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37</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2021年7月18日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0.037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38</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2021年7月23日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0.040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39</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2021年8月27日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无醛板</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0.015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40</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2021年8月29日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无醛板</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0.022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41</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2021年9月7日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0.043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42</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2021年9月27日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0.033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43</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2021年10月27日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0.027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44</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2021年10月31日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0.042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45</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2021年11月19日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0.037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46</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2021年11月27日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0.032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47</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2021年12月7日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无醛板</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0.020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48</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2021年12月10日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无醛板</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0.022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49</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2022年1月5日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0.045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50</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2022年1月16日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0.047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51</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2022年2月18日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0.042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52</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2022年2月16日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0.050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53</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2022年3月5日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0.042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54</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2022年3月10日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0.047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55</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2022年4月7日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0.037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56</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2022年4月25日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无醛板</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0.025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57</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2022年5月2日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0.040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58</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2022年5月5日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0.047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59</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2022年6月7日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0.048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60</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2022年6月15日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无醛板</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0.023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61</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2022年7月4日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0.035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62</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2022年7月10日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0.038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63</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2022年8月19日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0.040 </w:t>
            </w:r>
          </w:p>
        </w:tc>
      </w:tr>
      <w:tr>
        <w:tblPrEx>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64</w:t>
            </w:r>
          </w:p>
        </w:tc>
        <w:tc>
          <w:tcPr>
            <w:tcW w:w="3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2022年8月22日</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ascii="仿宋" w:hAnsi="仿宋" w:eastAsia="仿宋"/>
                <w:kern w:val="0"/>
                <w:sz w:val="18"/>
                <w:szCs w:val="18"/>
              </w:rPr>
              <w:t>E</w:t>
            </w:r>
            <w:r>
              <w:rPr>
                <w:rFonts w:ascii="仿宋" w:hAnsi="仿宋" w:eastAsia="仿宋"/>
                <w:kern w:val="0"/>
                <w:sz w:val="18"/>
                <w:szCs w:val="18"/>
                <w:vertAlign w:val="subscript"/>
              </w:rPr>
              <w:t>0</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 xml:space="preserve">0.035 </w:t>
            </w:r>
          </w:p>
        </w:tc>
      </w:tr>
    </w:tbl>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由表3可知，抽检的细木工板样品中，不同企业的检验结果有区别，但所检验的细木工板产品的甲醛释放量均达到无醛级、E</w:t>
      </w:r>
      <w:r>
        <w:rPr>
          <w:rFonts w:hint="eastAsia" w:ascii="仿宋_GB2312" w:hAnsi="宋体" w:eastAsia="仿宋_GB2312"/>
          <w:sz w:val="32"/>
          <w:szCs w:val="28"/>
          <w:vertAlign w:val="subscript"/>
          <w:lang w:val="zh-CN"/>
        </w:rPr>
        <w:t>0</w:t>
      </w:r>
      <w:r>
        <w:rPr>
          <w:rFonts w:hint="eastAsia" w:ascii="仿宋_GB2312" w:hAnsi="宋体" w:eastAsia="仿宋_GB2312"/>
          <w:sz w:val="32"/>
          <w:szCs w:val="28"/>
          <w:lang w:val="zh-CN"/>
        </w:rPr>
        <w:t>级、E</w:t>
      </w:r>
      <w:r>
        <w:rPr>
          <w:rFonts w:ascii="仿宋_GB2312" w:hAnsi="宋体" w:eastAsia="仿宋_GB2312"/>
          <w:sz w:val="32"/>
          <w:szCs w:val="28"/>
          <w:vertAlign w:val="subscript"/>
          <w:lang w:val="zh-CN"/>
        </w:rPr>
        <w:t>1</w:t>
      </w:r>
      <w:r>
        <w:rPr>
          <w:rFonts w:hint="eastAsia" w:ascii="仿宋_GB2312" w:hAnsi="宋体" w:eastAsia="仿宋_GB2312"/>
          <w:sz w:val="32"/>
          <w:szCs w:val="28"/>
          <w:lang w:val="zh-CN"/>
        </w:rPr>
        <w:t>级的要求。</w:t>
      </w:r>
      <w:r>
        <w:rPr>
          <w:rFonts w:ascii="仿宋_GB2312" w:hAnsi="宋体" w:eastAsia="仿宋_GB2312"/>
          <w:sz w:val="32"/>
          <w:szCs w:val="28"/>
          <w:lang w:val="zh-CN"/>
        </w:rPr>
        <w:t>表4</w:t>
      </w:r>
      <w:r>
        <w:rPr>
          <w:rFonts w:hint="eastAsia" w:ascii="仿宋_GB2312" w:hAnsi="宋体" w:eastAsia="仿宋_GB2312"/>
          <w:sz w:val="32"/>
          <w:szCs w:val="28"/>
          <w:lang w:val="zh-CN"/>
        </w:rPr>
        <w:t>是</w:t>
      </w:r>
      <w:r>
        <w:rPr>
          <w:rFonts w:ascii="仿宋_GB2312" w:hAnsi="宋体" w:eastAsia="仿宋_GB2312"/>
          <w:sz w:val="32"/>
          <w:szCs w:val="28"/>
          <w:lang w:val="zh-CN"/>
        </w:rPr>
        <w:t>企业</w:t>
      </w:r>
      <w:r>
        <w:rPr>
          <w:rFonts w:hint="eastAsia" w:ascii="仿宋_GB2312" w:hAnsi="宋体" w:eastAsia="仿宋_GB2312"/>
          <w:sz w:val="32"/>
          <w:szCs w:val="28"/>
          <w:lang w:val="zh-CN"/>
        </w:rPr>
        <w:t>2的2020年</w:t>
      </w:r>
      <w:r>
        <w:rPr>
          <w:rFonts w:ascii="仿宋_GB2312" w:hAnsi="宋体" w:eastAsia="仿宋_GB2312"/>
          <w:sz w:val="32"/>
          <w:szCs w:val="28"/>
          <w:lang w:val="zh-CN"/>
        </w:rPr>
        <w:t>至</w:t>
      </w:r>
      <w:r>
        <w:rPr>
          <w:rFonts w:hint="eastAsia" w:ascii="仿宋_GB2312" w:hAnsi="宋体" w:eastAsia="仿宋_GB2312"/>
          <w:sz w:val="32"/>
          <w:szCs w:val="28"/>
          <w:lang w:val="zh-CN"/>
        </w:rPr>
        <w:t>2022年8月E</w:t>
      </w:r>
      <w:r>
        <w:rPr>
          <w:rFonts w:hint="eastAsia" w:ascii="仿宋_GB2312" w:hAnsi="宋体" w:eastAsia="仿宋_GB2312"/>
          <w:sz w:val="32"/>
          <w:szCs w:val="28"/>
          <w:vertAlign w:val="subscript"/>
          <w:lang w:val="zh-CN"/>
        </w:rPr>
        <w:t>0</w:t>
      </w:r>
      <w:r>
        <w:rPr>
          <w:rFonts w:hint="eastAsia" w:ascii="仿宋_GB2312" w:hAnsi="宋体" w:eastAsia="仿宋_GB2312"/>
          <w:sz w:val="32"/>
          <w:szCs w:val="28"/>
          <w:lang w:val="zh-CN"/>
        </w:rPr>
        <w:t>级板甲醛释放量</w:t>
      </w:r>
      <w:r>
        <w:rPr>
          <w:rFonts w:ascii="仿宋_GB2312" w:hAnsi="宋体" w:eastAsia="仿宋_GB2312"/>
          <w:sz w:val="32"/>
          <w:szCs w:val="28"/>
          <w:lang w:val="zh-CN"/>
        </w:rPr>
        <w:t>自检数据</w:t>
      </w:r>
      <w:r>
        <w:rPr>
          <w:rFonts w:hint="eastAsia" w:ascii="仿宋_GB2312" w:hAnsi="宋体" w:eastAsia="仿宋_GB2312"/>
          <w:sz w:val="32"/>
          <w:szCs w:val="28"/>
          <w:lang w:val="zh-CN"/>
        </w:rPr>
        <w:t>，结合</w:t>
      </w:r>
      <w:r>
        <w:rPr>
          <w:rFonts w:ascii="仿宋_GB2312" w:hAnsi="宋体" w:eastAsia="仿宋_GB2312"/>
          <w:sz w:val="32"/>
          <w:szCs w:val="28"/>
          <w:lang w:val="zh-CN"/>
        </w:rPr>
        <w:t>新国标的</w:t>
      </w:r>
      <w:r>
        <w:rPr>
          <w:rFonts w:hint="eastAsia" w:ascii="仿宋_GB2312" w:hAnsi="宋体" w:eastAsia="仿宋_GB2312"/>
          <w:sz w:val="32"/>
          <w:szCs w:val="28"/>
          <w:lang w:val="zh-CN"/>
        </w:rPr>
        <w:t>规定</w:t>
      </w:r>
      <w:r>
        <w:rPr>
          <w:rFonts w:ascii="仿宋_GB2312" w:hAnsi="宋体" w:eastAsia="仿宋_GB2312"/>
          <w:sz w:val="32"/>
          <w:szCs w:val="28"/>
          <w:lang w:val="zh-CN"/>
        </w:rPr>
        <w:t>，</w:t>
      </w:r>
      <w:r>
        <w:rPr>
          <w:rFonts w:hint="eastAsia" w:ascii="仿宋_GB2312" w:hAnsi="宋体" w:eastAsia="仿宋_GB2312"/>
          <w:sz w:val="32"/>
          <w:szCs w:val="28"/>
          <w:lang w:val="zh-CN"/>
        </w:rPr>
        <w:t>共检出12批无醛板，52批E</w:t>
      </w:r>
      <w:r>
        <w:rPr>
          <w:rFonts w:hint="eastAsia" w:ascii="仿宋_GB2312" w:hAnsi="宋体" w:eastAsia="仿宋_GB2312"/>
          <w:sz w:val="32"/>
          <w:szCs w:val="28"/>
          <w:vertAlign w:val="subscript"/>
          <w:lang w:val="zh-CN"/>
        </w:rPr>
        <w:t>0</w:t>
      </w:r>
      <w:r>
        <w:rPr>
          <w:rFonts w:hint="eastAsia" w:ascii="仿宋_GB2312" w:hAnsi="宋体" w:eastAsia="仿宋_GB2312"/>
          <w:sz w:val="32"/>
          <w:szCs w:val="28"/>
          <w:lang w:val="zh-CN"/>
        </w:rPr>
        <w:t>级板，无E</w:t>
      </w:r>
      <w:r>
        <w:rPr>
          <w:rFonts w:hint="eastAsia" w:ascii="仿宋_GB2312" w:hAnsi="宋体" w:eastAsia="仿宋_GB2312"/>
          <w:sz w:val="32"/>
          <w:szCs w:val="28"/>
          <w:vertAlign w:val="subscript"/>
          <w:lang w:val="zh-CN"/>
        </w:rPr>
        <w:t>1</w:t>
      </w:r>
      <w:r>
        <w:rPr>
          <w:rFonts w:hint="eastAsia" w:ascii="仿宋_GB2312" w:hAnsi="宋体" w:eastAsia="仿宋_GB2312"/>
          <w:sz w:val="32"/>
          <w:szCs w:val="28"/>
          <w:lang w:val="zh-CN"/>
        </w:rPr>
        <w:t>级板，自检</w:t>
      </w:r>
      <w:r>
        <w:rPr>
          <w:rFonts w:ascii="仿宋_GB2312" w:hAnsi="宋体" w:eastAsia="仿宋_GB2312"/>
          <w:sz w:val="32"/>
          <w:szCs w:val="28"/>
          <w:lang w:val="zh-CN"/>
        </w:rPr>
        <w:t>结果</w:t>
      </w:r>
      <w:r>
        <w:rPr>
          <w:rFonts w:hint="eastAsia" w:ascii="仿宋_GB2312" w:hAnsi="宋体" w:eastAsia="仿宋_GB2312"/>
          <w:sz w:val="32"/>
          <w:szCs w:val="28"/>
          <w:lang w:val="zh-CN"/>
        </w:rPr>
        <w:t>完全</w:t>
      </w:r>
      <w:r>
        <w:rPr>
          <w:rFonts w:ascii="仿宋_GB2312" w:hAnsi="宋体" w:eastAsia="仿宋_GB2312"/>
          <w:sz w:val="32"/>
          <w:szCs w:val="28"/>
          <w:lang w:val="zh-CN"/>
        </w:rPr>
        <w:t>符合</w:t>
      </w:r>
      <w:r>
        <w:rPr>
          <w:rFonts w:hint="eastAsia" w:ascii="仿宋_GB2312" w:hAnsi="宋体" w:eastAsia="仿宋_GB2312"/>
          <w:sz w:val="32"/>
          <w:szCs w:val="28"/>
          <w:lang w:val="zh-CN"/>
        </w:rPr>
        <w:t>GB/T 39600-2021《人造板及其制品甲醛释放量分级》的规定。因此调整T/GXLC 004-2019《细木工板》的甲醛释放量指标至符合GB/T 39600-2021《人造板及其制品甲醛释放量分级》的规定是合理的，且有利于提高企业的产品质量和品牌效益。结合近几年细木工板产品检测数据分析、市场需求调研以及相关文献资料，为优选品牌从而提高广西细木工板产品的整体质量，细木工板产品对产品甲醛释放量尽可能高质量严要求，制定出更加合理、高标准的判定规则，确定了细木工板产品标准中甲醛释放限量分为无醛、E</w:t>
      </w:r>
      <w:r>
        <w:rPr>
          <w:rFonts w:hint="eastAsia" w:ascii="仿宋_GB2312" w:hAnsi="宋体" w:eastAsia="仿宋_GB2312"/>
          <w:sz w:val="32"/>
          <w:szCs w:val="28"/>
          <w:vertAlign w:val="subscript"/>
          <w:lang w:val="zh-CN"/>
        </w:rPr>
        <w:t>0</w:t>
      </w:r>
      <w:r>
        <w:rPr>
          <w:rFonts w:hint="eastAsia" w:ascii="仿宋_GB2312" w:hAnsi="宋体" w:eastAsia="仿宋_GB2312"/>
          <w:sz w:val="32"/>
          <w:szCs w:val="28"/>
          <w:lang w:val="zh-CN"/>
        </w:rPr>
        <w:t>两个级别，甲醛释放限量值分别为0.0</w:t>
      </w:r>
      <w:r>
        <w:rPr>
          <w:rFonts w:ascii="仿宋_GB2312" w:hAnsi="宋体" w:eastAsia="仿宋_GB2312"/>
          <w:sz w:val="32"/>
          <w:szCs w:val="28"/>
          <w:lang w:val="zh-CN"/>
        </w:rPr>
        <w:t>25</w:t>
      </w:r>
      <w:r>
        <w:rPr>
          <w:rFonts w:hint="eastAsia" w:ascii="仿宋_GB2312" w:hAnsi="宋体" w:eastAsia="仿宋_GB2312"/>
          <w:sz w:val="32"/>
          <w:szCs w:val="28"/>
          <w:lang w:val="zh-CN"/>
        </w:rPr>
        <w:t xml:space="preserve"> mg/m</w:t>
      </w:r>
      <w:r>
        <w:rPr>
          <w:rFonts w:hint="eastAsia" w:ascii="仿宋_GB2312" w:hAnsi="宋体" w:eastAsia="仿宋_GB2312"/>
          <w:sz w:val="32"/>
          <w:szCs w:val="28"/>
          <w:vertAlign w:val="superscript"/>
          <w:lang w:val="zh-CN"/>
        </w:rPr>
        <w:t>3</w:t>
      </w:r>
      <w:r>
        <w:rPr>
          <w:rFonts w:hint="eastAsia" w:ascii="仿宋_GB2312" w:hAnsi="宋体" w:eastAsia="仿宋_GB2312"/>
          <w:sz w:val="32"/>
          <w:szCs w:val="28"/>
          <w:lang w:val="zh-CN"/>
        </w:rPr>
        <w:t>、0.0</w:t>
      </w:r>
      <w:r>
        <w:rPr>
          <w:rFonts w:ascii="仿宋_GB2312" w:hAnsi="宋体" w:eastAsia="仿宋_GB2312"/>
          <w:sz w:val="32"/>
          <w:szCs w:val="28"/>
          <w:lang w:val="zh-CN"/>
        </w:rPr>
        <w:t>5</w:t>
      </w:r>
      <w:r>
        <w:rPr>
          <w:rFonts w:hint="eastAsia" w:ascii="仿宋_GB2312" w:hAnsi="宋体" w:eastAsia="仿宋_GB2312"/>
          <w:sz w:val="32"/>
          <w:szCs w:val="28"/>
          <w:lang w:val="zh-CN"/>
        </w:rPr>
        <w:t xml:space="preserve"> mg/m</w:t>
      </w:r>
      <w:r>
        <w:rPr>
          <w:rFonts w:hint="eastAsia" w:ascii="仿宋_GB2312" w:hAnsi="宋体" w:eastAsia="仿宋_GB2312"/>
          <w:sz w:val="32"/>
          <w:szCs w:val="28"/>
          <w:vertAlign w:val="superscript"/>
          <w:lang w:val="zh-CN"/>
        </w:rPr>
        <w:t>3</w:t>
      </w:r>
      <w:r>
        <w:rPr>
          <w:rFonts w:hint="eastAsia" w:ascii="仿宋_GB2312" w:hAnsi="宋体" w:eastAsia="仿宋_GB2312"/>
          <w:sz w:val="32"/>
          <w:szCs w:val="28"/>
          <w:lang w:val="zh-CN"/>
        </w:rPr>
        <w:t>。</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国内人造板相关标准仅有HJ 571-2010《环境标准产品技术要求 人造板及其制品》对人造板产品的总挥发性有机化合物（TVOC）作出要求，其他的人造板产品标准均未将总挥发性有机化合物（TVOC）的要求列入其产品技术指标中。为了满足市场需求，在参考国内外相关标准的基础上，结合我国实际情况和污染水平，细木工板产品确定了细木工板产品标准中总挥发性有机化合物（TVOC）的释放量不得超过0.50mg/(m</w:t>
      </w:r>
      <w:r>
        <w:rPr>
          <w:rFonts w:hint="eastAsia" w:ascii="仿宋_GB2312" w:hAnsi="宋体" w:eastAsia="仿宋_GB2312"/>
          <w:sz w:val="32"/>
          <w:szCs w:val="28"/>
          <w:vertAlign w:val="superscript"/>
          <w:lang w:val="zh-CN"/>
        </w:rPr>
        <w:t>2</w:t>
      </w:r>
      <w:r>
        <w:rPr>
          <w:rFonts w:hint="eastAsia" w:ascii="仿宋_GB2312" w:hAnsi="宋体" w:eastAsia="仿宋_GB2312"/>
          <w:sz w:val="32"/>
          <w:szCs w:val="28"/>
          <w:lang w:val="zh-CN"/>
        </w:rPr>
        <w:t>·h)(72h)。最终制定的有害物质限量的要求如表</w:t>
      </w:r>
      <w:r>
        <w:rPr>
          <w:rFonts w:ascii="仿宋_GB2312" w:hAnsi="宋体" w:eastAsia="仿宋_GB2312"/>
          <w:sz w:val="32"/>
          <w:szCs w:val="28"/>
          <w:lang w:val="zh-CN"/>
        </w:rPr>
        <w:t>5</w:t>
      </w:r>
      <w:r>
        <w:rPr>
          <w:rFonts w:hint="eastAsia" w:ascii="仿宋_GB2312" w:hAnsi="宋体" w:eastAsia="仿宋_GB2312"/>
          <w:sz w:val="32"/>
          <w:szCs w:val="28"/>
          <w:lang w:val="zh-CN"/>
        </w:rPr>
        <w:t>所示。</w:t>
      </w:r>
    </w:p>
    <w:p>
      <w:pPr>
        <w:pStyle w:val="39"/>
        <w:spacing w:before="156" w:after="156"/>
        <w:rPr>
          <w:rFonts w:hAnsi="黑体"/>
          <w:szCs w:val="21"/>
        </w:rPr>
      </w:pPr>
      <w:r>
        <w:rPr>
          <w:rFonts w:hAnsi="黑体"/>
          <w:szCs w:val="21"/>
        </w:rPr>
        <w:t>有害物质限量要求</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026"/>
        <w:gridCol w:w="2979"/>
        <w:gridCol w:w="29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25" w:type="dxa"/>
            <w:vMerge w:val="restart"/>
            <w:tcBorders>
              <w:top w:val="single" w:color="auto" w:sz="8" w:space="0"/>
            </w:tcBorders>
            <w:shd w:val="clear" w:color="auto" w:fill="auto"/>
            <w:vAlign w:val="center"/>
          </w:tcPr>
          <w:p>
            <w:pPr>
              <w:pStyle w:val="40"/>
              <w:rPr>
                <w:rFonts w:ascii="仿宋" w:hAnsi="仿宋" w:eastAsia="仿宋"/>
                <w:szCs w:val="18"/>
              </w:rPr>
            </w:pPr>
            <w:r>
              <w:rPr>
                <w:rFonts w:hint="eastAsia" w:ascii="仿宋" w:hAnsi="仿宋" w:eastAsia="仿宋"/>
                <w:szCs w:val="18"/>
              </w:rPr>
              <w:t>项目</w:t>
            </w:r>
          </w:p>
        </w:tc>
        <w:tc>
          <w:tcPr>
            <w:tcW w:w="6249" w:type="dxa"/>
            <w:gridSpan w:val="2"/>
            <w:tcBorders>
              <w:top w:val="single" w:color="auto" w:sz="8" w:space="0"/>
              <w:bottom w:val="single" w:color="auto" w:sz="4" w:space="0"/>
            </w:tcBorders>
            <w:shd w:val="clear" w:color="auto" w:fill="auto"/>
            <w:vAlign w:val="center"/>
          </w:tcPr>
          <w:p>
            <w:pPr>
              <w:pStyle w:val="40"/>
              <w:rPr>
                <w:rFonts w:ascii="仿宋" w:hAnsi="仿宋" w:eastAsia="仿宋"/>
                <w:szCs w:val="18"/>
              </w:rPr>
            </w:pPr>
            <w:r>
              <w:rPr>
                <w:rFonts w:hint="eastAsia" w:ascii="仿宋" w:hAnsi="仿宋" w:eastAsia="仿宋"/>
                <w:szCs w:val="18"/>
              </w:rPr>
              <w:t>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25" w:type="dxa"/>
            <w:vMerge w:val="continue"/>
            <w:tcBorders>
              <w:bottom w:val="single" w:color="auto" w:sz="8" w:space="0"/>
            </w:tcBorders>
            <w:shd w:val="clear" w:color="auto" w:fill="auto"/>
            <w:vAlign w:val="center"/>
          </w:tcPr>
          <w:p>
            <w:pPr>
              <w:pStyle w:val="40"/>
              <w:rPr>
                <w:rFonts w:ascii="仿宋" w:hAnsi="仿宋" w:eastAsia="仿宋"/>
                <w:szCs w:val="18"/>
              </w:rPr>
            </w:pPr>
          </w:p>
        </w:tc>
        <w:tc>
          <w:tcPr>
            <w:tcW w:w="3125" w:type="dxa"/>
            <w:tcBorders>
              <w:top w:val="single" w:color="auto" w:sz="4" w:space="0"/>
              <w:bottom w:val="single" w:color="auto" w:sz="8" w:space="0"/>
            </w:tcBorders>
            <w:shd w:val="clear" w:color="auto" w:fill="auto"/>
            <w:vAlign w:val="center"/>
          </w:tcPr>
          <w:p>
            <w:pPr>
              <w:pStyle w:val="40"/>
              <w:rPr>
                <w:rFonts w:ascii="仿宋" w:hAnsi="仿宋" w:eastAsia="仿宋"/>
                <w:szCs w:val="18"/>
              </w:rPr>
            </w:pPr>
            <w:r>
              <w:rPr>
                <w:rFonts w:hint="eastAsia" w:ascii="仿宋" w:hAnsi="仿宋" w:eastAsia="仿宋"/>
                <w:szCs w:val="18"/>
              </w:rPr>
              <w:t>无醛</w:t>
            </w:r>
          </w:p>
        </w:tc>
        <w:tc>
          <w:tcPr>
            <w:tcW w:w="3124" w:type="dxa"/>
            <w:tcBorders>
              <w:top w:val="single" w:color="auto" w:sz="4" w:space="0"/>
              <w:bottom w:val="single" w:color="auto" w:sz="8" w:space="0"/>
            </w:tcBorders>
            <w:shd w:val="clear" w:color="auto" w:fill="auto"/>
            <w:vAlign w:val="center"/>
          </w:tcPr>
          <w:p>
            <w:pPr>
              <w:pStyle w:val="40"/>
              <w:rPr>
                <w:rFonts w:ascii="仿宋" w:hAnsi="仿宋" w:eastAsia="仿宋"/>
                <w:szCs w:val="18"/>
              </w:rPr>
            </w:pPr>
            <w:r>
              <w:rPr>
                <w:rFonts w:hint="eastAsia" w:ascii="仿宋" w:hAnsi="仿宋" w:eastAsia="仿宋"/>
                <w:szCs w:val="18"/>
              </w:rPr>
              <w:t>E</w:t>
            </w:r>
            <w:r>
              <w:rPr>
                <w:rFonts w:hint="eastAsia" w:ascii="仿宋" w:hAnsi="仿宋" w:eastAsia="仿宋"/>
                <w:szCs w:val="18"/>
                <w:vertAlign w:val="subscript"/>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5" w:type="dxa"/>
            <w:tcBorders>
              <w:top w:val="single" w:color="auto" w:sz="8" w:space="0"/>
            </w:tcBorders>
            <w:shd w:val="clear" w:color="auto" w:fill="auto"/>
            <w:vAlign w:val="center"/>
          </w:tcPr>
          <w:p>
            <w:pPr>
              <w:widowControl/>
              <w:shd w:val="clear" w:color="auto" w:fill="FFFFFF"/>
              <w:jc w:val="center"/>
              <w:rPr>
                <w:rFonts w:ascii="仿宋" w:hAnsi="仿宋" w:eastAsia="仿宋"/>
                <w:kern w:val="0"/>
                <w:sz w:val="18"/>
                <w:szCs w:val="18"/>
              </w:rPr>
            </w:pPr>
            <w:r>
              <w:rPr>
                <w:rFonts w:hint="eastAsia" w:ascii="仿宋" w:hAnsi="仿宋" w:eastAsia="仿宋"/>
                <w:kern w:val="0"/>
                <w:sz w:val="18"/>
                <w:szCs w:val="18"/>
              </w:rPr>
              <w:t>甲醛释放限量</w:t>
            </w:r>
          </w:p>
          <w:p>
            <w:pPr>
              <w:widowControl/>
              <w:shd w:val="clear" w:color="auto" w:fill="FFFFFF"/>
              <w:jc w:val="center"/>
              <w:rPr>
                <w:rFonts w:ascii="仿宋" w:hAnsi="仿宋" w:eastAsia="仿宋"/>
                <w:kern w:val="0"/>
                <w:sz w:val="18"/>
                <w:szCs w:val="18"/>
              </w:rPr>
            </w:pPr>
            <w:r>
              <w:rPr>
                <w:rFonts w:ascii="仿宋" w:hAnsi="仿宋" w:eastAsia="仿宋"/>
                <w:kern w:val="0"/>
                <w:sz w:val="18"/>
                <w:szCs w:val="18"/>
              </w:rPr>
              <w:t>mg/m</w:t>
            </w:r>
            <w:r>
              <w:rPr>
                <w:rFonts w:ascii="仿宋" w:hAnsi="仿宋" w:eastAsia="仿宋"/>
                <w:kern w:val="0"/>
                <w:sz w:val="18"/>
                <w:szCs w:val="18"/>
                <w:vertAlign w:val="superscript"/>
              </w:rPr>
              <w:t>3</w:t>
            </w:r>
          </w:p>
        </w:tc>
        <w:tc>
          <w:tcPr>
            <w:tcW w:w="3125" w:type="dxa"/>
            <w:tcBorders>
              <w:top w:val="single" w:color="auto" w:sz="8" w:space="0"/>
            </w:tcBorders>
            <w:shd w:val="clear" w:color="auto" w:fill="auto"/>
            <w:vAlign w:val="center"/>
          </w:tcPr>
          <w:p>
            <w:pPr>
              <w:pStyle w:val="40"/>
              <w:rPr>
                <w:rFonts w:ascii="仿宋" w:hAnsi="仿宋" w:eastAsia="仿宋"/>
                <w:szCs w:val="18"/>
              </w:rPr>
            </w:pPr>
            <w:r>
              <w:rPr>
                <w:rFonts w:hint="eastAsia" w:ascii="仿宋" w:hAnsi="仿宋" w:eastAsia="仿宋"/>
                <w:szCs w:val="18"/>
              </w:rPr>
              <w:t>≤0.0</w:t>
            </w:r>
            <w:r>
              <w:rPr>
                <w:rFonts w:ascii="仿宋" w:hAnsi="仿宋" w:eastAsia="仿宋"/>
                <w:szCs w:val="18"/>
              </w:rPr>
              <w:t>25</w:t>
            </w:r>
          </w:p>
        </w:tc>
        <w:tc>
          <w:tcPr>
            <w:tcW w:w="3124" w:type="dxa"/>
            <w:tcBorders>
              <w:top w:val="single" w:color="auto" w:sz="8" w:space="0"/>
            </w:tcBorders>
            <w:shd w:val="clear" w:color="auto" w:fill="auto"/>
            <w:vAlign w:val="center"/>
          </w:tcPr>
          <w:p>
            <w:pPr>
              <w:pStyle w:val="40"/>
              <w:rPr>
                <w:rFonts w:ascii="仿宋" w:hAnsi="仿宋" w:eastAsia="仿宋"/>
                <w:szCs w:val="18"/>
              </w:rPr>
            </w:pPr>
            <w:r>
              <w:rPr>
                <w:rFonts w:hint="eastAsia" w:ascii="仿宋" w:hAnsi="仿宋" w:eastAsia="仿宋"/>
                <w:szCs w:val="18"/>
              </w:rPr>
              <w:t>≤0.05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5" w:type="dxa"/>
            <w:shd w:val="clear" w:color="auto" w:fill="auto"/>
            <w:vAlign w:val="center"/>
          </w:tcPr>
          <w:p>
            <w:pPr>
              <w:pStyle w:val="40"/>
              <w:rPr>
                <w:rFonts w:ascii="仿宋" w:hAnsi="仿宋" w:eastAsia="仿宋"/>
                <w:szCs w:val="18"/>
              </w:rPr>
            </w:pPr>
            <w:r>
              <w:rPr>
                <w:rFonts w:hint="eastAsia" w:ascii="仿宋" w:hAnsi="仿宋" w:eastAsia="仿宋"/>
                <w:szCs w:val="18"/>
              </w:rPr>
              <w:t>总挥发性有机化合物（TVOC）</w:t>
            </w:r>
            <w:r>
              <w:rPr>
                <w:rFonts w:ascii="仿宋" w:hAnsi="仿宋" w:eastAsia="仿宋"/>
                <w:szCs w:val="18"/>
              </w:rPr>
              <w:t>mg/(m</w:t>
            </w:r>
            <w:r>
              <w:rPr>
                <w:rFonts w:hint="eastAsia" w:ascii="仿宋" w:hAnsi="仿宋" w:eastAsia="仿宋"/>
                <w:szCs w:val="18"/>
                <w:vertAlign w:val="superscript"/>
              </w:rPr>
              <w:t>2</w:t>
            </w:r>
            <w:r>
              <w:rPr>
                <w:rFonts w:ascii="仿宋" w:hAnsi="仿宋" w:eastAsia="仿宋"/>
                <w:szCs w:val="18"/>
              </w:rPr>
              <w:t>·h)(72h)</w:t>
            </w:r>
          </w:p>
        </w:tc>
        <w:tc>
          <w:tcPr>
            <w:tcW w:w="6249" w:type="dxa"/>
            <w:gridSpan w:val="2"/>
            <w:shd w:val="clear" w:color="auto" w:fill="auto"/>
            <w:vAlign w:val="center"/>
          </w:tcPr>
          <w:p>
            <w:pPr>
              <w:pStyle w:val="40"/>
              <w:rPr>
                <w:rFonts w:ascii="仿宋" w:hAnsi="仿宋" w:eastAsia="仿宋"/>
                <w:szCs w:val="18"/>
              </w:rPr>
            </w:pPr>
            <w:r>
              <w:rPr>
                <w:rFonts w:hint="eastAsia" w:ascii="仿宋" w:hAnsi="仿宋" w:eastAsia="仿宋"/>
                <w:szCs w:val="18"/>
              </w:rPr>
              <w:t>≤0.50</w:t>
            </w:r>
          </w:p>
        </w:tc>
      </w:tr>
    </w:tbl>
    <w:p>
      <w:pPr>
        <w:pStyle w:val="35"/>
        <w:numPr>
          <w:ilvl w:val="2"/>
          <w:numId w:val="0"/>
        </w:numPr>
        <w:spacing w:before="156" w:beforeLines="50" w:after="156" w:afterLines="50" w:line="560" w:lineRule="exact"/>
        <w:ind w:firstLine="643" w:firstLineChars="200"/>
        <w:rPr>
          <w:rFonts w:ascii="楷体" w:hAnsi="楷体" w:eastAsia="楷体"/>
          <w:b/>
          <w:sz w:val="32"/>
          <w:szCs w:val="32"/>
          <w:lang w:val="zh-CN"/>
        </w:rPr>
      </w:pPr>
      <w:r>
        <w:rPr>
          <w:rFonts w:hint="eastAsia" w:ascii="楷体" w:hAnsi="楷体" w:eastAsia="楷体"/>
          <w:b/>
          <w:sz w:val="32"/>
          <w:szCs w:val="32"/>
          <w:lang w:val="zh-CN"/>
        </w:rPr>
        <w:t>（五）试件取样</w:t>
      </w:r>
      <w:r>
        <w:rPr>
          <w:rFonts w:ascii="楷体" w:hAnsi="楷体" w:eastAsia="楷体"/>
          <w:b/>
          <w:sz w:val="32"/>
          <w:szCs w:val="32"/>
          <w:lang w:val="zh-CN"/>
        </w:rPr>
        <w:t>及尺寸规定</w:t>
      </w:r>
      <w:r>
        <w:rPr>
          <w:rFonts w:hint="eastAsia" w:ascii="楷体" w:hAnsi="楷体" w:eastAsia="楷体"/>
          <w:b/>
          <w:sz w:val="32"/>
          <w:szCs w:val="32"/>
          <w:lang w:val="zh-CN"/>
        </w:rPr>
        <w:t>、试验方法、试验规则及标志、标签、包装、运输和贮存</w:t>
      </w:r>
    </w:p>
    <w:p>
      <w:pPr>
        <w:spacing w:line="560" w:lineRule="exact"/>
        <w:ind w:firstLine="960" w:firstLineChars="300"/>
        <w:rPr>
          <w:rFonts w:ascii="仿宋_GB2312" w:hAnsi="宋体" w:eastAsia="仿宋_GB2312"/>
          <w:sz w:val="32"/>
          <w:szCs w:val="28"/>
          <w:lang w:val="zh-CN"/>
        </w:rPr>
      </w:pPr>
      <w:r>
        <w:rPr>
          <w:rFonts w:hint="eastAsia" w:ascii="仿宋_GB2312" w:hAnsi="宋体" w:eastAsia="仿宋_GB2312"/>
          <w:sz w:val="32"/>
          <w:szCs w:val="28"/>
          <w:lang w:val="zh-CN"/>
        </w:rPr>
        <w:t>主要依据相关标准进行规定。</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六、国内外同类标准制修订情况及与法律法规、强制性标准关系</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经查阅，与细木工板有关的国家标准、行业标准、广西地方标准和团体标准有GB/T 34722-2017《浸渍胶膜纸饰面胶合板和细木工板》、GB/T 39600-2021《人造板及其制品甲醛释放量分级》和GB/T 39598-2021《基于极限甲醛量的人造板室内承载限量指南》等。以上标准对人造板、细木工板产品质量进行规范，技术要求具有普适性。但随消费需求的改变，广西细木工板在外观质量、强度、甲醛含量、含水率等方面对提出更高的要求，故以上标准不能体现广西细木工板的优势，无法有效代表广西细木工板的生产质量。</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本标准的内容与现行的法律、法规及强制性标准无冲突，标准的编写符合GB/T 1.1-2020的要求。</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七、重大分歧意见发处理经过和依据</w:t>
      </w:r>
    </w:p>
    <w:p>
      <w:pPr>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本标准研制过程中无重大分歧意见。</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八、自我承诺</w:t>
      </w:r>
    </w:p>
    <w:p>
      <w:pPr>
        <w:ind w:firstLine="640" w:firstLineChars="200"/>
        <w:rPr>
          <w:rFonts w:ascii="仿宋_GB2312" w:hAnsi="宋体" w:eastAsia="仿宋_GB2312"/>
          <w:sz w:val="28"/>
          <w:szCs w:val="32"/>
          <w:lang w:val="zh-CN"/>
        </w:rPr>
      </w:pPr>
      <w:r>
        <w:rPr>
          <w:rFonts w:hint="eastAsia" w:ascii="仿宋_GB2312" w:hAnsi="宋体" w:eastAsia="仿宋_GB2312"/>
          <w:sz w:val="32"/>
          <w:szCs w:val="28"/>
          <w:lang w:val="zh-CN"/>
        </w:rPr>
        <w:t>本标准内容与各项指标不低于强制性标准要求。</w:t>
      </w:r>
    </w:p>
    <w:p>
      <w:pPr>
        <w:rPr>
          <w:rFonts w:ascii="仿宋_GB2312" w:hAnsi="宋体" w:eastAsia="仿宋_GB2312"/>
          <w:sz w:val="28"/>
          <w:szCs w:val="32"/>
          <w:lang w:val="zh-CN"/>
        </w:rPr>
      </w:pPr>
    </w:p>
    <w:p>
      <w:pPr>
        <w:jc w:val="right"/>
        <w:rPr>
          <w:rFonts w:ascii="仿宋_GB2312" w:hAnsi="宋体" w:eastAsia="仿宋_GB2312"/>
          <w:sz w:val="32"/>
          <w:szCs w:val="28"/>
          <w:lang w:val="zh-CN"/>
        </w:rPr>
      </w:pPr>
      <w:r>
        <w:rPr>
          <w:rFonts w:hint="eastAsia" w:ascii="仿宋_GB2312" w:hAnsi="宋体" w:eastAsia="仿宋_GB2312"/>
          <w:sz w:val="32"/>
          <w:szCs w:val="28"/>
          <w:lang w:val="zh-CN"/>
        </w:rPr>
        <w:t>团体标准《细木工板》</w:t>
      </w:r>
    </w:p>
    <w:p>
      <w:pPr>
        <w:ind w:firstLine="3520" w:firstLineChars="1100"/>
        <w:jc w:val="right"/>
        <w:rPr>
          <w:rFonts w:ascii="仿宋_GB2312" w:hAnsi="宋体" w:eastAsia="仿宋_GB2312"/>
          <w:sz w:val="32"/>
          <w:szCs w:val="28"/>
          <w:lang w:val="zh-CN"/>
        </w:rPr>
      </w:pPr>
      <w:r>
        <w:rPr>
          <w:rFonts w:hint="eastAsia" w:ascii="仿宋_GB2312" w:hAnsi="宋体" w:eastAsia="仿宋_GB2312"/>
          <w:sz w:val="32"/>
          <w:szCs w:val="28"/>
          <w:lang w:val="zh-CN"/>
        </w:rPr>
        <w:t>标准编制小组</w:t>
      </w:r>
    </w:p>
    <w:p>
      <w:pPr>
        <w:ind w:firstLine="640" w:firstLineChars="200"/>
        <w:jc w:val="right"/>
        <w:rPr>
          <w:rFonts w:ascii="仿宋_GB2312" w:hAnsi="宋体" w:eastAsia="仿宋_GB2312"/>
          <w:sz w:val="32"/>
          <w:szCs w:val="28"/>
          <w:lang w:val="zh-CN"/>
        </w:rPr>
      </w:pPr>
      <w:r>
        <w:rPr>
          <w:rFonts w:hint="eastAsia" w:ascii="仿宋_GB2312" w:hAnsi="宋体" w:eastAsia="仿宋_GB2312"/>
          <w:sz w:val="32"/>
          <w:szCs w:val="28"/>
          <w:lang w:val="zh-CN"/>
        </w:rPr>
        <w:t xml:space="preserve">                2022年</w:t>
      </w:r>
      <w:r>
        <w:rPr>
          <w:rFonts w:ascii="仿宋_GB2312" w:hAnsi="宋体" w:eastAsia="仿宋_GB2312"/>
          <w:sz w:val="32"/>
          <w:szCs w:val="28"/>
          <w:lang w:val="zh-CN"/>
        </w:rPr>
        <w:t>9</w:t>
      </w:r>
      <w:r>
        <w:rPr>
          <w:rFonts w:hint="eastAsia" w:ascii="仿宋_GB2312" w:hAnsi="宋体" w:eastAsia="仿宋_GB2312"/>
          <w:sz w:val="32"/>
          <w:szCs w:val="28"/>
          <w:lang w:val="zh-CN"/>
        </w:rPr>
        <w:t>月2</w:t>
      </w:r>
      <w:r>
        <w:rPr>
          <w:rFonts w:ascii="仿宋_GB2312" w:hAnsi="宋体" w:eastAsia="仿宋_GB2312"/>
          <w:sz w:val="32"/>
          <w:szCs w:val="28"/>
          <w:lang w:val="zh-CN"/>
        </w:rPr>
        <w:t>8</w:t>
      </w:r>
      <w:r>
        <w:rPr>
          <w:rFonts w:hint="eastAsia" w:ascii="仿宋_GB2312" w:hAnsi="宋体" w:eastAsia="仿宋_GB2312"/>
          <w:sz w:val="32"/>
          <w:szCs w:val="28"/>
          <w:lang w:val="zh-CN"/>
        </w:rPr>
        <w:t>日</w:t>
      </w:r>
    </w:p>
    <w:sectPr>
      <w:footerReference r:id="rId3"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12968"/>
    </w:sdtPr>
    <w:sdtContent>
      <w:p>
        <w:pPr>
          <w:pStyle w:val="4"/>
          <w:jc w:val="cente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14</w:t>
        </w:r>
        <w:r>
          <w:rPr>
            <w:rFonts w:ascii="宋体" w:hAnsi="宋体"/>
            <w:sz w:val="32"/>
            <w:szCs w:val="32"/>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C27CF"/>
    <w:multiLevelType w:val="singleLevel"/>
    <w:tmpl w:val="F7EC27CF"/>
    <w:lvl w:ilvl="0" w:tentative="0">
      <w:start w:val="4"/>
      <w:numFmt w:val="chineseCounting"/>
      <w:suff w:val="nothing"/>
      <w:lvlText w:val="（%1）"/>
      <w:lvlJc w:val="left"/>
      <w:rPr>
        <w:rFonts w:hint="eastAsia"/>
      </w:rPr>
    </w:lvl>
  </w:abstractNum>
  <w:abstractNum w:abstractNumId="1">
    <w:nsid w:val="1FC91163"/>
    <w:multiLevelType w:val="multilevel"/>
    <w:tmpl w:val="1FC91163"/>
    <w:lvl w:ilvl="0" w:tentative="0">
      <w:start w:val="1"/>
      <w:numFmt w:val="decimal"/>
      <w:pStyle w:val="3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31"/>
      <w:suff w:val="nothing"/>
      <w:lvlText w:val="%1.%2.%3　"/>
      <w:lvlJc w:val="left"/>
      <w:pPr>
        <w:ind w:left="4361" w:firstLine="0"/>
      </w:pPr>
      <w:rPr>
        <w:rFonts w:hint="eastAsia" w:ascii="黑体" w:hAnsi="Times New Roman" w:eastAsia="黑体"/>
        <w:b w:val="0"/>
        <w:i w:val="0"/>
        <w:sz w:val="21"/>
      </w:rPr>
    </w:lvl>
    <w:lvl w:ilvl="3" w:tentative="0">
      <w:start w:val="1"/>
      <w:numFmt w:val="decimal"/>
      <w:pStyle w:val="32"/>
      <w:suff w:val="nothing"/>
      <w:lvlText w:val="%1.%2.%3.%4　"/>
      <w:lvlJc w:val="left"/>
      <w:pPr>
        <w:ind w:left="0" w:firstLine="0"/>
      </w:pPr>
      <w:rPr>
        <w:rFonts w:hint="eastAsia" w:ascii="黑体" w:hAnsi="Times New Roman" w:eastAsia="黑体"/>
        <w:b w:val="0"/>
        <w:i w:val="0"/>
        <w:sz w:val="21"/>
      </w:rPr>
    </w:lvl>
    <w:lvl w:ilvl="4" w:tentative="0">
      <w:start w:val="1"/>
      <w:numFmt w:val="decimal"/>
      <w:pStyle w:val="33"/>
      <w:suff w:val="nothing"/>
      <w:lvlText w:val="%1.%2.%3.%4.%5　"/>
      <w:lvlJc w:val="left"/>
      <w:pPr>
        <w:ind w:left="840" w:firstLine="0"/>
      </w:pPr>
      <w:rPr>
        <w:rFonts w:hint="eastAsia" w:ascii="黑体" w:hAnsi="Times New Roman" w:eastAsia="黑体"/>
        <w:b w:val="0"/>
        <w:i w:val="0"/>
        <w:sz w:val="21"/>
      </w:rPr>
    </w:lvl>
    <w:lvl w:ilvl="5" w:tentative="0">
      <w:start w:val="1"/>
      <w:numFmt w:val="decimal"/>
      <w:pStyle w:val="34"/>
      <w:suff w:val="nothing"/>
      <w:lvlText w:val="%1.%2.%3.%4.%5.%6　"/>
      <w:lvlJc w:val="left"/>
      <w:pPr>
        <w:ind w:left="-420" w:firstLine="0"/>
      </w:pPr>
      <w:rPr>
        <w:rFonts w:hint="eastAsia" w:ascii="黑体" w:hAnsi="Times New Roman" w:eastAsia="黑体"/>
        <w:b w:val="0"/>
        <w:i w:val="0"/>
        <w:sz w:val="21"/>
      </w:rPr>
    </w:lvl>
    <w:lvl w:ilvl="6" w:tentative="0">
      <w:start w:val="1"/>
      <w:numFmt w:val="decimal"/>
      <w:suff w:val="nothing"/>
      <w:lvlText w:val="%1%2.%3.%4.%5.%6.%7　"/>
      <w:lvlJc w:val="left"/>
      <w:pPr>
        <w:ind w:left="-420" w:firstLine="0"/>
      </w:pPr>
      <w:rPr>
        <w:rFonts w:hint="eastAsia" w:ascii="黑体" w:hAnsi="Times New Roman" w:eastAsia="黑体"/>
        <w:b w:val="0"/>
        <w:i w:val="0"/>
        <w:sz w:val="21"/>
      </w:rPr>
    </w:lvl>
    <w:lvl w:ilvl="7" w:tentative="0">
      <w:start w:val="1"/>
      <w:numFmt w:val="decimal"/>
      <w:lvlText w:val="%1.%2.%3.%4.%5.%6.%7.%8"/>
      <w:lvlJc w:val="left"/>
      <w:pPr>
        <w:tabs>
          <w:tab w:val="left" w:pos="3931"/>
        </w:tabs>
        <w:ind w:left="3549" w:hanging="1418"/>
      </w:pPr>
      <w:rPr>
        <w:rFonts w:hint="eastAsia"/>
      </w:rPr>
    </w:lvl>
    <w:lvl w:ilvl="8" w:tentative="0">
      <w:start w:val="1"/>
      <w:numFmt w:val="decimal"/>
      <w:lvlText w:val="%1.%2.%3.%4.%5.%6.%7.%8.%9"/>
      <w:lvlJc w:val="left"/>
      <w:pPr>
        <w:tabs>
          <w:tab w:val="left" w:pos="4357"/>
        </w:tabs>
        <w:ind w:left="4257" w:hanging="1700"/>
      </w:pPr>
      <w:rPr>
        <w:rFonts w:hint="eastAsia"/>
      </w:rPr>
    </w:lvl>
  </w:abstractNum>
  <w:abstractNum w:abstractNumId="2">
    <w:nsid w:val="646260FA"/>
    <w:multiLevelType w:val="multilevel"/>
    <w:tmpl w:val="646260FA"/>
    <w:lvl w:ilvl="0" w:tentative="0">
      <w:start w:val="1"/>
      <w:numFmt w:val="decimal"/>
      <w:pStyle w:val="39"/>
      <w:suff w:val="nothing"/>
      <w:lvlText w:val="表%1　"/>
      <w:lvlJc w:val="left"/>
      <w:pPr>
        <w:ind w:left="2552" w:firstLine="0"/>
      </w:pPr>
      <w:rPr>
        <w:lang w:eastAsia="zh-CN"/>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6CD14D19"/>
    <w:multiLevelType w:val="multilevel"/>
    <w:tmpl w:val="6CD14D19"/>
    <w:lvl w:ilvl="0" w:tentative="0">
      <w:start w:val="2"/>
      <w:numFmt w:val="japaneseCounting"/>
      <w:lvlText w:val="（%1）"/>
      <w:lvlJc w:val="left"/>
      <w:pPr>
        <w:ind w:left="1647" w:hanging="1080"/>
      </w:pPr>
      <w:rPr>
        <w:rFonts w:hint="default" w:ascii="楷体" w:hAnsi="楷体"/>
        <w:b/>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4">
    <w:nsid w:val="6CEA2025"/>
    <w:multiLevelType w:val="multilevel"/>
    <w:tmpl w:val="6CEA2025"/>
    <w:lvl w:ilvl="0" w:tentative="0">
      <w:start w:val="1"/>
      <w:numFmt w:val="none"/>
      <w:pStyle w:val="25"/>
      <w:suff w:val="nothing"/>
      <w:lvlText w:val="%1"/>
      <w:lvlJc w:val="left"/>
      <w:pPr>
        <w:ind w:left="0" w:firstLine="0"/>
      </w:pPr>
      <w:rPr>
        <w:rFonts w:hint="eastAsia"/>
      </w:rPr>
    </w:lvl>
    <w:lvl w:ilvl="1" w:tentative="0">
      <w:start w:val="1"/>
      <w:numFmt w:val="decimal"/>
      <w:pStyle w:val="23"/>
      <w:suff w:val="nothing"/>
      <w:lvlText w:val="%1%2　"/>
      <w:lvlJc w:val="left"/>
      <w:pPr>
        <w:ind w:left="0" w:firstLine="0"/>
      </w:pPr>
      <w:rPr>
        <w:rFonts w:hint="eastAsia" w:ascii="黑体" w:eastAsia="黑体"/>
        <w:b w:val="0"/>
        <w:i w:val="0"/>
        <w:sz w:val="21"/>
      </w:rPr>
    </w:lvl>
    <w:lvl w:ilvl="2" w:tentative="0">
      <w:start w:val="1"/>
      <w:numFmt w:val="decimal"/>
      <w:pStyle w:val="2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9"/>
      <w:suff w:val="nothing"/>
      <w:lvlText w:val="%1%2.%3.%4　"/>
      <w:lvlJc w:val="left"/>
      <w:pPr>
        <w:ind w:left="0" w:firstLine="0"/>
      </w:pPr>
      <w:rPr>
        <w:rFonts w:hint="eastAsia" w:ascii="黑体" w:eastAsia="黑体"/>
        <w:b w:val="0"/>
        <w:i w:val="0"/>
        <w:sz w:val="21"/>
      </w:rPr>
    </w:lvl>
    <w:lvl w:ilvl="4" w:tentative="0">
      <w:start w:val="1"/>
      <w:numFmt w:val="decimal"/>
      <w:pStyle w:val="20"/>
      <w:suff w:val="nothing"/>
      <w:lvlText w:val="%1%2.%3.%4.%5　"/>
      <w:lvlJc w:val="left"/>
      <w:pPr>
        <w:ind w:left="0" w:firstLine="0"/>
      </w:pPr>
      <w:rPr>
        <w:rFonts w:hint="eastAsia" w:ascii="黑体" w:eastAsia="黑体"/>
        <w:b w:val="0"/>
        <w:i w:val="0"/>
        <w:sz w:val="21"/>
      </w:rPr>
    </w:lvl>
    <w:lvl w:ilvl="5" w:tentative="0">
      <w:start w:val="1"/>
      <w:numFmt w:val="decimal"/>
      <w:pStyle w:val="21"/>
      <w:suff w:val="nothing"/>
      <w:lvlText w:val="%1%2.%3.%4.%5.%6　"/>
      <w:lvlJc w:val="left"/>
      <w:pPr>
        <w:ind w:left="0" w:firstLine="0"/>
      </w:pPr>
      <w:rPr>
        <w:rFonts w:hint="eastAsia" w:ascii="黑体" w:eastAsia="黑体"/>
        <w:b w:val="0"/>
        <w:i w:val="0"/>
        <w:sz w:val="21"/>
      </w:rPr>
    </w:lvl>
    <w:lvl w:ilvl="6" w:tentative="0">
      <w:start w:val="1"/>
      <w:numFmt w:val="decimal"/>
      <w:pStyle w:val="22"/>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yMjE3Y2QyNjgzNTYyODZkNGI0OTZhOGQ4ZTE1NmUifQ=="/>
  </w:docVars>
  <w:rsids>
    <w:rsidRoot w:val="52F40A7A"/>
    <w:rsid w:val="00002030"/>
    <w:rsid w:val="00004C4A"/>
    <w:rsid w:val="00010E6E"/>
    <w:rsid w:val="0001346F"/>
    <w:rsid w:val="00014463"/>
    <w:rsid w:val="000172E1"/>
    <w:rsid w:val="00022A5F"/>
    <w:rsid w:val="000255B1"/>
    <w:rsid w:val="00031C67"/>
    <w:rsid w:val="00045D6D"/>
    <w:rsid w:val="00055B86"/>
    <w:rsid w:val="00057AD3"/>
    <w:rsid w:val="00060C37"/>
    <w:rsid w:val="0006324E"/>
    <w:rsid w:val="00072AE1"/>
    <w:rsid w:val="00075056"/>
    <w:rsid w:val="0008582A"/>
    <w:rsid w:val="00094586"/>
    <w:rsid w:val="00095094"/>
    <w:rsid w:val="000A029B"/>
    <w:rsid w:val="000A1420"/>
    <w:rsid w:val="000A63E7"/>
    <w:rsid w:val="000B12F7"/>
    <w:rsid w:val="000B1597"/>
    <w:rsid w:val="000B15F9"/>
    <w:rsid w:val="000B6F1C"/>
    <w:rsid w:val="000C1B17"/>
    <w:rsid w:val="000C36F7"/>
    <w:rsid w:val="000C4127"/>
    <w:rsid w:val="000C7763"/>
    <w:rsid w:val="000C7B94"/>
    <w:rsid w:val="000D0936"/>
    <w:rsid w:val="000D2085"/>
    <w:rsid w:val="000D4AA2"/>
    <w:rsid w:val="000D5D37"/>
    <w:rsid w:val="000D7675"/>
    <w:rsid w:val="000E6662"/>
    <w:rsid w:val="000E68F4"/>
    <w:rsid w:val="000E6DEA"/>
    <w:rsid w:val="000F124B"/>
    <w:rsid w:val="000F3C96"/>
    <w:rsid w:val="000F5CC1"/>
    <w:rsid w:val="000F77A5"/>
    <w:rsid w:val="0010044B"/>
    <w:rsid w:val="00106E48"/>
    <w:rsid w:val="001074C4"/>
    <w:rsid w:val="00113C15"/>
    <w:rsid w:val="00113EE6"/>
    <w:rsid w:val="0011771D"/>
    <w:rsid w:val="00122F32"/>
    <w:rsid w:val="00123812"/>
    <w:rsid w:val="001240E5"/>
    <w:rsid w:val="00127C38"/>
    <w:rsid w:val="0014255F"/>
    <w:rsid w:val="00144CFD"/>
    <w:rsid w:val="00146E1F"/>
    <w:rsid w:val="00147FAD"/>
    <w:rsid w:val="00151C6D"/>
    <w:rsid w:val="0015242D"/>
    <w:rsid w:val="00152E1B"/>
    <w:rsid w:val="00155C98"/>
    <w:rsid w:val="00165BCC"/>
    <w:rsid w:val="001670A9"/>
    <w:rsid w:val="00171BE7"/>
    <w:rsid w:val="0017654D"/>
    <w:rsid w:val="00184228"/>
    <w:rsid w:val="00193030"/>
    <w:rsid w:val="001A129A"/>
    <w:rsid w:val="001A2C3B"/>
    <w:rsid w:val="001A5698"/>
    <w:rsid w:val="001A60A2"/>
    <w:rsid w:val="001A7A69"/>
    <w:rsid w:val="001B03C8"/>
    <w:rsid w:val="001B08A5"/>
    <w:rsid w:val="001C2136"/>
    <w:rsid w:val="001C4BEF"/>
    <w:rsid w:val="001D0A9B"/>
    <w:rsid w:val="001D4E10"/>
    <w:rsid w:val="001D6DFB"/>
    <w:rsid w:val="001E0A61"/>
    <w:rsid w:val="001E1351"/>
    <w:rsid w:val="001E2028"/>
    <w:rsid w:val="001E5046"/>
    <w:rsid w:val="0020008A"/>
    <w:rsid w:val="002008BD"/>
    <w:rsid w:val="00202138"/>
    <w:rsid w:val="002052DF"/>
    <w:rsid w:val="00205A58"/>
    <w:rsid w:val="00207F5F"/>
    <w:rsid w:val="00211FDA"/>
    <w:rsid w:val="00216307"/>
    <w:rsid w:val="00224C22"/>
    <w:rsid w:val="00225B5F"/>
    <w:rsid w:val="0022611B"/>
    <w:rsid w:val="002324AB"/>
    <w:rsid w:val="002362C7"/>
    <w:rsid w:val="00240CD4"/>
    <w:rsid w:val="00240DD0"/>
    <w:rsid w:val="00244076"/>
    <w:rsid w:val="00244D6E"/>
    <w:rsid w:val="002454B4"/>
    <w:rsid w:val="00255B2D"/>
    <w:rsid w:val="0025708A"/>
    <w:rsid w:val="00260066"/>
    <w:rsid w:val="002601C1"/>
    <w:rsid w:val="00262228"/>
    <w:rsid w:val="00265259"/>
    <w:rsid w:val="00274817"/>
    <w:rsid w:val="002770E7"/>
    <w:rsid w:val="0028089D"/>
    <w:rsid w:val="00290444"/>
    <w:rsid w:val="002930AC"/>
    <w:rsid w:val="00293598"/>
    <w:rsid w:val="002967FA"/>
    <w:rsid w:val="002A1E5E"/>
    <w:rsid w:val="002A58A4"/>
    <w:rsid w:val="002A7EEE"/>
    <w:rsid w:val="002B051C"/>
    <w:rsid w:val="002B656B"/>
    <w:rsid w:val="002B6945"/>
    <w:rsid w:val="002C0A09"/>
    <w:rsid w:val="002C18A8"/>
    <w:rsid w:val="002C7FF3"/>
    <w:rsid w:val="002D25BE"/>
    <w:rsid w:val="002D6E7D"/>
    <w:rsid w:val="002D7CF5"/>
    <w:rsid w:val="002E31E6"/>
    <w:rsid w:val="002E7374"/>
    <w:rsid w:val="002F1363"/>
    <w:rsid w:val="00305AE4"/>
    <w:rsid w:val="0030658C"/>
    <w:rsid w:val="00306B56"/>
    <w:rsid w:val="00310580"/>
    <w:rsid w:val="00320404"/>
    <w:rsid w:val="00326233"/>
    <w:rsid w:val="00331C1C"/>
    <w:rsid w:val="00332A60"/>
    <w:rsid w:val="00332CD2"/>
    <w:rsid w:val="0033374E"/>
    <w:rsid w:val="0033381E"/>
    <w:rsid w:val="00333E2F"/>
    <w:rsid w:val="00340AA6"/>
    <w:rsid w:val="0034317A"/>
    <w:rsid w:val="003438F5"/>
    <w:rsid w:val="00347525"/>
    <w:rsid w:val="0035100C"/>
    <w:rsid w:val="00361165"/>
    <w:rsid w:val="00371733"/>
    <w:rsid w:val="003748CC"/>
    <w:rsid w:val="00377456"/>
    <w:rsid w:val="00382CF3"/>
    <w:rsid w:val="00384E7B"/>
    <w:rsid w:val="003855F8"/>
    <w:rsid w:val="00386773"/>
    <w:rsid w:val="00386EFB"/>
    <w:rsid w:val="0039067E"/>
    <w:rsid w:val="003A5569"/>
    <w:rsid w:val="003B3E7D"/>
    <w:rsid w:val="003D35F5"/>
    <w:rsid w:val="003D4BC6"/>
    <w:rsid w:val="003D593D"/>
    <w:rsid w:val="003E3F3F"/>
    <w:rsid w:val="003E3F52"/>
    <w:rsid w:val="003E42C1"/>
    <w:rsid w:val="003F7245"/>
    <w:rsid w:val="003F76C4"/>
    <w:rsid w:val="00403C1F"/>
    <w:rsid w:val="004057CB"/>
    <w:rsid w:val="004071AD"/>
    <w:rsid w:val="00407361"/>
    <w:rsid w:val="00414F2F"/>
    <w:rsid w:val="00416771"/>
    <w:rsid w:val="0042060E"/>
    <w:rsid w:val="00423B26"/>
    <w:rsid w:val="00427AB0"/>
    <w:rsid w:val="00430FDB"/>
    <w:rsid w:val="004364E4"/>
    <w:rsid w:val="00442340"/>
    <w:rsid w:val="004427FE"/>
    <w:rsid w:val="004456FA"/>
    <w:rsid w:val="004464EA"/>
    <w:rsid w:val="00446864"/>
    <w:rsid w:val="00447537"/>
    <w:rsid w:val="004476EC"/>
    <w:rsid w:val="00450FCA"/>
    <w:rsid w:val="00457D76"/>
    <w:rsid w:val="004714EA"/>
    <w:rsid w:val="00472AF8"/>
    <w:rsid w:val="00483264"/>
    <w:rsid w:val="004861B8"/>
    <w:rsid w:val="00487AD3"/>
    <w:rsid w:val="00487CD5"/>
    <w:rsid w:val="00495B49"/>
    <w:rsid w:val="004A085B"/>
    <w:rsid w:val="004A092E"/>
    <w:rsid w:val="004A67D6"/>
    <w:rsid w:val="004B3E07"/>
    <w:rsid w:val="004B471B"/>
    <w:rsid w:val="004C0F0C"/>
    <w:rsid w:val="004C308C"/>
    <w:rsid w:val="004C3D65"/>
    <w:rsid w:val="004C6640"/>
    <w:rsid w:val="004D0734"/>
    <w:rsid w:val="004D4EF4"/>
    <w:rsid w:val="004E174F"/>
    <w:rsid w:val="004E2A80"/>
    <w:rsid w:val="004E34E8"/>
    <w:rsid w:val="004E773C"/>
    <w:rsid w:val="004F01D8"/>
    <w:rsid w:val="004F632C"/>
    <w:rsid w:val="004F6860"/>
    <w:rsid w:val="005031C6"/>
    <w:rsid w:val="00505174"/>
    <w:rsid w:val="00506E71"/>
    <w:rsid w:val="00512EA4"/>
    <w:rsid w:val="005334DC"/>
    <w:rsid w:val="00534C7A"/>
    <w:rsid w:val="00534E76"/>
    <w:rsid w:val="00535C4E"/>
    <w:rsid w:val="00543432"/>
    <w:rsid w:val="00552387"/>
    <w:rsid w:val="0055581B"/>
    <w:rsid w:val="00555B17"/>
    <w:rsid w:val="00556950"/>
    <w:rsid w:val="0055791F"/>
    <w:rsid w:val="00563A69"/>
    <w:rsid w:val="00564DEE"/>
    <w:rsid w:val="0057073F"/>
    <w:rsid w:val="00575CAC"/>
    <w:rsid w:val="0058057F"/>
    <w:rsid w:val="0058633E"/>
    <w:rsid w:val="00587573"/>
    <w:rsid w:val="00596018"/>
    <w:rsid w:val="00597BD1"/>
    <w:rsid w:val="005A03D0"/>
    <w:rsid w:val="005A1F5A"/>
    <w:rsid w:val="005A56FC"/>
    <w:rsid w:val="005B1C23"/>
    <w:rsid w:val="005B7E9A"/>
    <w:rsid w:val="005C01D0"/>
    <w:rsid w:val="005C4442"/>
    <w:rsid w:val="005C6148"/>
    <w:rsid w:val="005D39D1"/>
    <w:rsid w:val="005D3D9A"/>
    <w:rsid w:val="005D5660"/>
    <w:rsid w:val="005D5714"/>
    <w:rsid w:val="005E012C"/>
    <w:rsid w:val="005E18D3"/>
    <w:rsid w:val="005E209C"/>
    <w:rsid w:val="005F02EE"/>
    <w:rsid w:val="00602239"/>
    <w:rsid w:val="00603C54"/>
    <w:rsid w:val="00605579"/>
    <w:rsid w:val="00606685"/>
    <w:rsid w:val="00617D41"/>
    <w:rsid w:val="0062207D"/>
    <w:rsid w:val="00624D31"/>
    <w:rsid w:val="00625321"/>
    <w:rsid w:val="006255F6"/>
    <w:rsid w:val="006255FF"/>
    <w:rsid w:val="0062579B"/>
    <w:rsid w:val="00630EE0"/>
    <w:rsid w:val="0063304D"/>
    <w:rsid w:val="00634F18"/>
    <w:rsid w:val="0063510B"/>
    <w:rsid w:val="00643931"/>
    <w:rsid w:val="00645B65"/>
    <w:rsid w:val="00657118"/>
    <w:rsid w:val="006651FC"/>
    <w:rsid w:val="0067224D"/>
    <w:rsid w:val="00672A75"/>
    <w:rsid w:val="00676728"/>
    <w:rsid w:val="0069781A"/>
    <w:rsid w:val="006A3835"/>
    <w:rsid w:val="006A4180"/>
    <w:rsid w:val="006A558C"/>
    <w:rsid w:val="006A6C6E"/>
    <w:rsid w:val="006B5247"/>
    <w:rsid w:val="006C2AAC"/>
    <w:rsid w:val="006C2D86"/>
    <w:rsid w:val="006C5D24"/>
    <w:rsid w:val="006C6978"/>
    <w:rsid w:val="006D0ABD"/>
    <w:rsid w:val="006D2529"/>
    <w:rsid w:val="006D4CAF"/>
    <w:rsid w:val="006E0EAE"/>
    <w:rsid w:val="006E3F49"/>
    <w:rsid w:val="006E7B72"/>
    <w:rsid w:val="006E7C98"/>
    <w:rsid w:val="006F33AE"/>
    <w:rsid w:val="006F36AF"/>
    <w:rsid w:val="006F579F"/>
    <w:rsid w:val="00703331"/>
    <w:rsid w:val="00717541"/>
    <w:rsid w:val="007211EB"/>
    <w:rsid w:val="00725661"/>
    <w:rsid w:val="0072647B"/>
    <w:rsid w:val="00734925"/>
    <w:rsid w:val="00734FEB"/>
    <w:rsid w:val="0074068C"/>
    <w:rsid w:val="007464D8"/>
    <w:rsid w:val="007473CE"/>
    <w:rsid w:val="007553B5"/>
    <w:rsid w:val="00756B7A"/>
    <w:rsid w:val="007723F1"/>
    <w:rsid w:val="0077269F"/>
    <w:rsid w:val="00773D4E"/>
    <w:rsid w:val="0077484C"/>
    <w:rsid w:val="00782FF7"/>
    <w:rsid w:val="00795E8F"/>
    <w:rsid w:val="007A486B"/>
    <w:rsid w:val="007B7084"/>
    <w:rsid w:val="007B7D2B"/>
    <w:rsid w:val="007C05E2"/>
    <w:rsid w:val="007C14D0"/>
    <w:rsid w:val="007C4BD4"/>
    <w:rsid w:val="007E75E5"/>
    <w:rsid w:val="007F37EE"/>
    <w:rsid w:val="007F5AD7"/>
    <w:rsid w:val="007F6F3A"/>
    <w:rsid w:val="007F7C5A"/>
    <w:rsid w:val="0080432C"/>
    <w:rsid w:val="008064A0"/>
    <w:rsid w:val="00812BE4"/>
    <w:rsid w:val="00812F89"/>
    <w:rsid w:val="00816C6C"/>
    <w:rsid w:val="00817D5D"/>
    <w:rsid w:val="00817EEE"/>
    <w:rsid w:val="00821A40"/>
    <w:rsid w:val="0082212A"/>
    <w:rsid w:val="00822C95"/>
    <w:rsid w:val="00824AEC"/>
    <w:rsid w:val="008252D1"/>
    <w:rsid w:val="00827B75"/>
    <w:rsid w:val="00830741"/>
    <w:rsid w:val="00835761"/>
    <w:rsid w:val="00844907"/>
    <w:rsid w:val="008451F4"/>
    <w:rsid w:val="008464EA"/>
    <w:rsid w:val="00846662"/>
    <w:rsid w:val="00846B43"/>
    <w:rsid w:val="00846ED0"/>
    <w:rsid w:val="00847950"/>
    <w:rsid w:val="008507CD"/>
    <w:rsid w:val="008540BE"/>
    <w:rsid w:val="00854E95"/>
    <w:rsid w:val="008668A8"/>
    <w:rsid w:val="00866934"/>
    <w:rsid w:val="0087147C"/>
    <w:rsid w:val="00875198"/>
    <w:rsid w:val="008766DD"/>
    <w:rsid w:val="00877AC9"/>
    <w:rsid w:val="008816F1"/>
    <w:rsid w:val="00882B43"/>
    <w:rsid w:val="00892C1C"/>
    <w:rsid w:val="008A137F"/>
    <w:rsid w:val="008A3597"/>
    <w:rsid w:val="008A5EFE"/>
    <w:rsid w:val="008B26B0"/>
    <w:rsid w:val="008B5643"/>
    <w:rsid w:val="008B680D"/>
    <w:rsid w:val="008B6C66"/>
    <w:rsid w:val="008B75DD"/>
    <w:rsid w:val="008B7DE0"/>
    <w:rsid w:val="008C441E"/>
    <w:rsid w:val="008C65ED"/>
    <w:rsid w:val="008C6BD8"/>
    <w:rsid w:val="008D1373"/>
    <w:rsid w:val="008D4E14"/>
    <w:rsid w:val="008E0F1F"/>
    <w:rsid w:val="008E2021"/>
    <w:rsid w:val="008E5194"/>
    <w:rsid w:val="008E749D"/>
    <w:rsid w:val="008F2DF4"/>
    <w:rsid w:val="008F2F90"/>
    <w:rsid w:val="00904023"/>
    <w:rsid w:val="00905603"/>
    <w:rsid w:val="00907694"/>
    <w:rsid w:val="009111EA"/>
    <w:rsid w:val="00923F57"/>
    <w:rsid w:val="009309AA"/>
    <w:rsid w:val="009309DD"/>
    <w:rsid w:val="009425BF"/>
    <w:rsid w:val="00946400"/>
    <w:rsid w:val="0096301F"/>
    <w:rsid w:val="00965A51"/>
    <w:rsid w:val="009671CA"/>
    <w:rsid w:val="00972FC5"/>
    <w:rsid w:val="00975E26"/>
    <w:rsid w:val="00981956"/>
    <w:rsid w:val="00982BD5"/>
    <w:rsid w:val="00983918"/>
    <w:rsid w:val="009918CC"/>
    <w:rsid w:val="009931A4"/>
    <w:rsid w:val="00996984"/>
    <w:rsid w:val="00996C24"/>
    <w:rsid w:val="009B05F8"/>
    <w:rsid w:val="009B0913"/>
    <w:rsid w:val="009B3475"/>
    <w:rsid w:val="009B5DAD"/>
    <w:rsid w:val="009B62A8"/>
    <w:rsid w:val="009C3228"/>
    <w:rsid w:val="009C5B7E"/>
    <w:rsid w:val="009C725B"/>
    <w:rsid w:val="009D23FA"/>
    <w:rsid w:val="009D266B"/>
    <w:rsid w:val="009D3862"/>
    <w:rsid w:val="009D4A1E"/>
    <w:rsid w:val="009E02E5"/>
    <w:rsid w:val="009E21D2"/>
    <w:rsid w:val="009E36D8"/>
    <w:rsid w:val="00A01F1F"/>
    <w:rsid w:val="00A029C0"/>
    <w:rsid w:val="00A06C3F"/>
    <w:rsid w:val="00A15EF5"/>
    <w:rsid w:val="00A173F3"/>
    <w:rsid w:val="00A300E1"/>
    <w:rsid w:val="00A302C7"/>
    <w:rsid w:val="00A305F2"/>
    <w:rsid w:val="00A32B67"/>
    <w:rsid w:val="00A33BC3"/>
    <w:rsid w:val="00A3695A"/>
    <w:rsid w:val="00A53DC7"/>
    <w:rsid w:val="00A56182"/>
    <w:rsid w:val="00A614F7"/>
    <w:rsid w:val="00A72BE0"/>
    <w:rsid w:val="00A72F2B"/>
    <w:rsid w:val="00A746B4"/>
    <w:rsid w:val="00A74EE5"/>
    <w:rsid w:val="00A775A4"/>
    <w:rsid w:val="00A819DE"/>
    <w:rsid w:val="00A84E40"/>
    <w:rsid w:val="00A912E4"/>
    <w:rsid w:val="00A92404"/>
    <w:rsid w:val="00A93605"/>
    <w:rsid w:val="00A96B83"/>
    <w:rsid w:val="00A9764A"/>
    <w:rsid w:val="00AA376B"/>
    <w:rsid w:val="00AB06B2"/>
    <w:rsid w:val="00AB2DA5"/>
    <w:rsid w:val="00AC0452"/>
    <w:rsid w:val="00AD6406"/>
    <w:rsid w:val="00AE0409"/>
    <w:rsid w:val="00AE0CC7"/>
    <w:rsid w:val="00AE6884"/>
    <w:rsid w:val="00AE7C04"/>
    <w:rsid w:val="00AF13DA"/>
    <w:rsid w:val="00AF5E96"/>
    <w:rsid w:val="00B001F4"/>
    <w:rsid w:val="00B0296E"/>
    <w:rsid w:val="00B03ACD"/>
    <w:rsid w:val="00B123DB"/>
    <w:rsid w:val="00B160C4"/>
    <w:rsid w:val="00B16697"/>
    <w:rsid w:val="00B268CE"/>
    <w:rsid w:val="00B27F04"/>
    <w:rsid w:val="00B3000B"/>
    <w:rsid w:val="00B35D37"/>
    <w:rsid w:val="00B43123"/>
    <w:rsid w:val="00B43337"/>
    <w:rsid w:val="00B43B12"/>
    <w:rsid w:val="00B50F53"/>
    <w:rsid w:val="00B53FB2"/>
    <w:rsid w:val="00B540BC"/>
    <w:rsid w:val="00B54EC2"/>
    <w:rsid w:val="00B604A5"/>
    <w:rsid w:val="00B613A1"/>
    <w:rsid w:val="00B6365B"/>
    <w:rsid w:val="00B636A3"/>
    <w:rsid w:val="00B749A6"/>
    <w:rsid w:val="00B75A94"/>
    <w:rsid w:val="00B80E71"/>
    <w:rsid w:val="00B925F3"/>
    <w:rsid w:val="00B97929"/>
    <w:rsid w:val="00BB0CDF"/>
    <w:rsid w:val="00BB6FF5"/>
    <w:rsid w:val="00BB71D1"/>
    <w:rsid w:val="00BC171F"/>
    <w:rsid w:val="00BC3E6C"/>
    <w:rsid w:val="00BC4455"/>
    <w:rsid w:val="00BD0291"/>
    <w:rsid w:val="00BD10BC"/>
    <w:rsid w:val="00BD62CB"/>
    <w:rsid w:val="00BD7550"/>
    <w:rsid w:val="00BE5140"/>
    <w:rsid w:val="00BE6967"/>
    <w:rsid w:val="00BF5764"/>
    <w:rsid w:val="00C13F3F"/>
    <w:rsid w:val="00C2083A"/>
    <w:rsid w:val="00C2250B"/>
    <w:rsid w:val="00C2476C"/>
    <w:rsid w:val="00C31177"/>
    <w:rsid w:val="00C3291B"/>
    <w:rsid w:val="00C3316E"/>
    <w:rsid w:val="00C362B4"/>
    <w:rsid w:val="00C4029B"/>
    <w:rsid w:val="00C42251"/>
    <w:rsid w:val="00C468FA"/>
    <w:rsid w:val="00C512F4"/>
    <w:rsid w:val="00C53498"/>
    <w:rsid w:val="00C53C8B"/>
    <w:rsid w:val="00C53F2F"/>
    <w:rsid w:val="00C576EA"/>
    <w:rsid w:val="00C62141"/>
    <w:rsid w:val="00C62B66"/>
    <w:rsid w:val="00C71A2A"/>
    <w:rsid w:val="00C7269F"/>
    <w:rsid w:val="00C729D5"/>
    <w:rsid w:val="00C73367"/>
    <w:rsid w:val="00C74827"/>
    <w:rsid w:val="00C77D35"/>
    <w:rsid w:val="00C86E93"/>
    <w:rsid w:val="00C93DB8"/>
    <w:rsid w:val="00C95B5A"/>
    <w:rsid w:val="00CA33FB"/>
    <w:rsid w:val="00CC2F39"/>
    <w:rsid w:val="00CC315E"/>
    <w:rsid w:val="00CC35A5"/>
    <w:rsid w:val="00CD419D"/>
    <w:rsid w:val="00CD6DD2"/>
    <w:rsid w:val="00CE0644"/>
    <w:rsid w:val="00CE0EE1"/>
    <w:rsid w:val="00CE4E86"/>
    <w:rsid w:val="00CF3ECE"/>
    <w:rsid w:val="00D007BE"/>
    <w:rsid w:val="00D0154F"/>
    <w:rsid w:val="00D01946"/>
    <w:rsid w:val="00D01E83"/>
    <w:rsid w:val="00D02000"/>
    <w:rsid w:val="00D0439E"/>
    <w:rsid w:val="00D127DD"/>
    <w:rsid w:val="00D129C1"/>
    <w:rsid w:val="00D31E19"/>
    <w:rsid w:val="00D32A48"/>
    <w:rsid w:val="00D35563"/>
    <w:rsid w:val="00D41F6E"/>
    <w:rsid w:val="00D45485"/>
    <w:rsid w:val="00D52670"/>
    <w:rsid w:val="00D52782"/>
    <w:rsid w:val="00D52D3A"/>
    <w:rsid w:val="00D55438"/>
    <w:rsid w:val="00D5708B"/>
    <w:rsid w:val="00D570E4"/>
    <w:rsid w:val="00D603FD"/>
    <w:rsid w:val="00D61555"/>
    <w:rsid w:val="00D64185"/>
    <w:rsid w:val="00D6448D"/>
    <w:rsid w:val="00D6621F"/>
    <w:rsid w:val="00D732B5"/>
    <w:rsid w:val="00D74029"/>
    <w:rsid w:val="00D77F0F"/>
    <w:rsid w:val="00D91693"/>
    <w:rsid w:val="00D94810"/>
    <w:rsid w:val="00DA0E02"/>
    <w:rsid w:val="00DA36F2"/>
    <w:rsid w:val="00DA4621"/>
    <w:rsid w:val="00DA66D5"/>
    <w:rsid w:val="00DB1A23"/>
    <w:rsid w:val="00DB4D89"/>
    <w:rsid w:val="00DC0876"/>
    <w:rsid w:val="00DC325A"/>
    <w:rsid w:val="00DC3702"/>
    <w:rsid w:val="00DD6A59"/>
    <w:rsid w:val="00DE3986"/>
    <w:rsid w:val="00DF3ABD"/>
    <w:rsid w:val="00DF5055"/>
    <w:rsid w:val="00DF5A2F"/>
    <w:rsid w:val="00DF671D"/>
    <w:rsid w:val="00E01EB8"/>
    <w:rsid w:val="00E0763C"/>
    <w:rsid w:val="00E077CA"/>
    <w:rsid w:val="00E114CE"/>
    <w:rsid w:val="00E12047"/>
    <w:rsid w:val="00E142AB"/>
    <w:rsid w:val="00E153B5"/>
    <w:rsid w:val="00E165A6"/>
    <w:rsid w:val="00E16B9C"/>
    <w:rsid w:val="00E2048F"/>
    <w:rsid w:val="00E21857"/>
    <w:rsid w:val="00E22B90"/>
    <w:rsid w:val="00E2587A"/>
    <w:rsid w:val="00E27767"/>
    <w:rsid w:val="00E31730"/>
    <w:rsid w:val="00E3177C"/>
    <w:rsid w:val="00E34012"/>
    <w:rsid w:val="00E34597"/>
    <w:rsid w:val="00E352F7"/>
    <w:rsid w:val="00E55B1A"/>
    <w:rsid w:val="00E57F20"/>
    <w:rsid w:val="00E75003"/>
    <w:rsid w:val="00E77A73"/>
    <w:rsid w:val="00E801DC"/>
    <w:rsid w:val="00E82889"/>
    <w:rsid w:val="00E85208"/>
    <w:rsid w:val="00E85B5D"/>
    <w:rsid w:val="00E86802"/>
    <w:rsid w:val="00E87E16"/>
    <w:rsid w:val="00E93D18"/>
    <w:rsid w:val="00EA0EF1"/>
    <w:rsid w:val="00EB013C"/>
    <w:rsid w:val="00EB360A"/>
    <w:rsid w:val="00EB5476"/>
    <w:rsid w:val="00EB7532"/>
    <w:rsid w:val="00EC22A2"/>
    <w:rsid w:val="00EC5B56"/>
    <w:rsid w:val="00ED0847"/>
    <w:rsid w:val="00ED1D5B"/>
    <w:rsid w:val="00EE78B6"/>
    <w:rsid w:val="00EE7D57"/>
    <w:rsid w:val="00EF0C63"/>
    <w:rsid w:val="00EF5227"/>
    <w:rsid w:val="00EF5DB1"/>
    <w:rsid w:val="00F0301A"/>
    <w:rsid w:val="00F042E7"/>
    <w:rsid w:val="00F115C7"/>
    <w:rsid w:val="00F13400"/>
    <w:rsid w:val="00F3374D"/>
    <w:rsid w:val="00F645F1"/>
    <w:rsid w:val="00F67515"/>
    <w:rsid w:val="00F67BB0"/>
    <w:rsid w:val="00F718EB"/>
    <w:rsid w:val="00F732E3"/>
    <w:rsid w:val="00F73D6A"/>
    <w:rsid w:val="00F755BF"/>
    <w:rsid w:val="00F77801"/>
    <w:rsid w:val="00F77D16"/>
    <w:rsid w:val="00F900BE"/>
    <w:rsid w:val="00F9435B"/>
    <w:rsid w:val="00FA2720"/>
    <w:rsid w:val="00FA459A"/>
    <w:rsid w:val="00FA77B1"/>
    <w:rsid w:val="00FB047A"/>
    <w:rsid w:val="00FB0E82"/>
    <w:rsid w:val="00FB7AC2"/>
    <w:rsid w:val="00FC599D"/>
    <w:rsid w:val="00FC68A8"/>
    <w:rsid w:val="00FC7641"/>
    <w:rsid w:val="00FD19C3"/>
    <w:rsid w:val="00FD3708"/>
    <w:rsid w:val="00FD482A"/>
    <w:rsid w:val="00FE253C"/>
    <w:rsid w:val="00FF142C"/>
    <w:rsid w:val="00FF3472"/>
    <w:rsid w:val="00FF4D90"/>
    <w:rsid w:val="00FF5B8D"/>
    <w:rsid w:val="00FF6348"/>
    <w:rsid w:val="00FF683B"/>
    <w:rsid w:val="012073A2"/>
    <w:rsid w:val="01973053"/>
    <w:rsid w:val="027E74CA"/>
    <w:rsid w:val="034B5463"/>
    <w:rsid w:val="04DB3C44"/>
    <w:rsid w:val="0CF43C8A"/>
    <w:rsid w:val="0D4967B3"/>
    <w:rsid w:val="0DA87EC0"/>
    <w:rsid w:val="0F156E4C"/>
    <w:rsid w:val="0F447B05"/>
    <w:rsid w:val="0FEC3E14"/>
    <w:rsid w:val="12443FB1"/>
    <w:rsid w:val="12A53D1F"/>
    <w:rsid w:val="134C146A"/>
    <w:rsid w:val="14070EF0"/>
    <w:rsid w:val="14377FD0"/>
    <w:rsid w:val="14856F74"/>
    <w:rsid w:val="15C0748F"/>
    <w:rsid w:val="16174E54"/>
    <w:rsid w:val="16BE53A8"/>
    <w:rsid w:val="17A35DDF"/>
    <w:rsid w:val="18787EC5"/>
    <w:rsid w:val="19E84073"/>
    <w:rsid w:val="1AEF3D03"/>
    <w:rsid w:val="1B7E0E69"/>
    <w:rsid w:val="1C136E65"/>
    <w:rsid w:val="1C595D46"/>
    <w:rsid w:val="1CC031EA"/>
    <w:rsid w:val="1D840CAA"/>
    <w:rsid w:val="1EFA407E"/>
    <w:rsid w:val="1F126151"/>
    <w:rsid w:val="20BC7F0E"/>
    <w:rsid w:val="21604DF6"/>
    <w:rsid w:val="21B878C1"/>
    <w:rsid w:val="22723962"/>
    <w:rsid w:val="241C4DDC"/>
    <w:rsid w:val="24CD0EEF"/>
    <w:rsid w:val="24D067A5"/>
    <w:rsid w:val="27640417"/>
    <w:rsid w:val="28332B62"/>
    <w:rsid w:val="29204D61"/>
    <w:rsid w:val="29F563F0"/>
    <w:rsid w:val="2B97780B"/>
    <w:rsid w:val="2CCB46E5"/>
    <w:rsid w:val="2E2A5CB9"/>
    <w:rsid w:val="2E6073FD"/>
    <w:rsid w:val="2F24002C"/>
    <w:rsid w:val="31AE15C3"/>
    <w:rsid w:val="31FF6CE2"/>
    <w:rsid w:val="35BB3EF4"/>
    <w:rsid w:val="369C4E13"/>
    <w:rsid w:val="386B0FD9"/>
    <w:rsid w:val="3933479C"/>
    <w:rsid w:val="396D1326"/>
    <w:rsid w:val="3B97665A"/>
    <w:rsid w:val="3E046715"/>
    <w:rsid w:val="3EE2552D"/>
    <w:rsid w:val="436721CB"/>
    <w:rsid w:val="456D42D1"/>
    <w:rsid w:val="46ED03C2"/>
    <w:rsid w:val="484F252F"/>
    <w:rsid w:val="4A8A1CA2"/>
    <w:rsid w:val="4B011028"/>
    <w:rsid w:val="4C661C38"/>
    <w:rsid w:val="4C9A5EA5"/>
    <w:rsid w:val="4EE2079C"/>
    <w:rsid w:val="4F4E509D"/>
    <w:rsid w:val="50D543D0"/>
    <w:rsid w:val="51885345"/>
    <w:rsid w:val="52F40A7A"/>
    <w:rsid w:val="53A625DF"/>
    <w:rsid w:val="53AB37CE"/>
    <w:rsid w:val="555F515E"/>
    <w:rsid w:val="56D27189"/>
    <w:rsid w:val="579529A0"/>
    <w:rsid w:val="5B20154B"/>
    <w:rsid w:val="5CD54512"/>
    <w:rsid w:val="5DB11630"/>
    <w:rsid w:val="5EB85928"/>
    <w:rsid w:val="5EF90A63"/>
    <w:rsid w:val="5F7F05A5"/>
    <w:rsid w:val="60090E87"/>
    <w:rsid w:val="616855EF"/>
    <w:rsid w:val="62E269BE"/>
    <w:rsid w:val="63273FE2"/>
    <w:rsid w:val="633C4553"/>
    <w:rsid w:val="635E1DC8"/>
    <w:rsid w:val="63F8153B"/>
    <w:rsid w:val="66BF71C4"/>
    <w:rsid w:val="68A1291D"/>
    <w:rsid w:val="68B76BCA"/>
    <w:rsid w:val="68D12C7B"/>
    <w:rsid w:val="693646B5"/>
    <w:rsid w:val="69604790"/>
    <w:rsid w:val="6F100594"/>
    <w:rsid w:val="6FB05B67"/>
    <w:rsid w:val="70241AA7"/>
    <w:rsid w:val="7221670E"/>
    <w:rsid w:val="73222030"/>
    <w:rsid w:val="74B64137"/>
    <w:rsid w:val="76552FDB"/>
    <w:rsid w:val="77A46809"/>
    <w:rsid w:val="793E45B1"/>
    <w:rsid w:val="7A5B26E7"/>
    <w:rsid w:val="7A610B9B"/>
    <w:rsid w:val="7AFA5663"/>
    <w:rsid w:val="7DAB739D"/>
    <w:rsid w:val="7EBB4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alloon Text"/>
    <w:basedOn w:val="1"/>
    <w:link w:val="18"/>
    <w:qFormat/>
    <w:uiPriority w:val="0"/>
    <w:rPr>
      <w:sz w:val="18"/>
      <w:szCs w:val="18"/>
    </w:rPr>
  </w:style>
  <w:style w:type="paragraph" w:styleId="4">
    <w:name w:val="footer"/>
    <w:basedOn w:val="1"/>
    <w:link w:val="17"/>
    <w:qFormat/>
    <w:uiPriority w:val="99"/>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3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7">
    <w:name w:val="Normal (Web)"/>
    <w:basedOn w:val="1"/>
    <w:uiPriority w:val="0"/>
    <w:rPr>
      <w:sz w:val="24"/>
    </w:rPr>
  </w:style>
  <w:style w:type="table" w:styleId="9">
    <w:name w:val="Table Grid"/>
    <w:basedOn w:val="8"/>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yperlink"/>
    <w:basedOn w:val="10"/>
    <w:unhideWhenUsed/>
    <w:qFormat/>
    <w:uiPriority w:val="99"/>
    <w:rPr>
      <w:color w:val="0000FF"/>
      <w:u w:val="single"/>
    </w:rPr>
  </w:style>
  <w:style w:type="paragraph" w:styleId="13">
    <w:name w:val="List Paragraph"/>
    <w:basedOn w:val="1"/>
    <w:qFormat/>
    <w:uiPriority w:val="0"/>
    <w:pPr>
      <w:ind w:firstLine="420" w:firstLineChars="200"/>
    </w:pPr>
    <w:rPr>
      <w:szCs w:val="22"/>
    </w:rPr>
  </w:style>
  <w:style w:type="paragraph" w:customStyle="1" w:styleId="14">
    <w:name w:val="标准文件_段"/>
    <w:link w:val="1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5">
    <w:name w:val="标准文件_段 Char"/>
    <w:link w:val="14"/>
    <w:qFormat/>
    <w:uiPriority w:val="0"/>
    <w:rPr>
      <w:rFonts w:ascii="宋体"/>
      <w:sz w:val="21"/>
    </w:rPr>
  </w:style>
  <w:style w:type="character" w:customStyle="1" w:styleId="16">
    <w:name w:val="页眉 字符"/>
    <w:basedOn w:val="10"/>
    <w:link w:val="5"/>
    <w:qFormat/>
    <w:uiPriority w:val="0"/>
    <w:rPr>
      <w:rFonts w:ascii="Times New Roman" w:hAnsi="Times New Roman"/>
      <w:kern w:val="2"/>
      <w:sz w:val="18"/>
      <w:szCs w:val="18"/>
    </w:rPr>
  </w:style>
  <w:style w:type="character" w:customStyle="1" w:styleId="17">
    <w:name w:val="页脚 字符"/>
    <w:basedOn w:val="10"/>
    <w:link w:val="4"/>
    <w:qFormat/>
    <w:uiPriority w:val="99"/>
    <w:rPr>
      <w:rFonts w:ascii="Times New Roman" w:hAnsi="Times New Roman"/>
      <w:kern w:val="2"/>
      <w:sz w:val="18"/>
      <w:szCs w:val="18"/>
    </w:rPr>
  </w:style>
  <w:style w:type="character" w:customStyle="1" w:styleId="18">
    <w:name w:val="批注框文本 字符"/>
    <w:basedOn w:val="10"/>
    <w:link w:val="3"/>
    <w:qFormat/>
    <w:uiPriority w:val="0"/>
    <w:rPr>
      <w:rFonts w:ascii="Times New Roman" w:hAnsi="Times New Roman"/>
      <w:kern w:val="2"/>
      <w:sz w:val="18"/>
      <w:szCs w:val="18"/>
    </w:rPr>
  </w:style>
  <w:style w:type="paragraph" w:customStyle="1" w:styleId="19">
    <w:name w:val="标准文件_二级条标题"/>
    <w:next w:val="14"/>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20">
    <w:name w:val="标准文件_三级条标题"/>
    <w:basedOn w:val="19"/>
    <w:next w:val="14"/>
    <w:qFormat/>
    <w:uiPriority w:val="0"/>
    <w:pPr>
      <w:widowControl/>
      <w:numPr>
        <w:ilvl w:val="4"/>
      </w:numPr>
      <w:outlineLvl w:val="3"/>
    </w:pPr>
  </w:style>
  <w:style w:type="paragraph" w:customStyle="1" w:styleId="21">
    <w:name w:val="标准文件_四级条标题"/>
    <w:next w:val="14"/>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22">
    <w:name w:val="标准文件_五级条标题"/>
    <w:next w:val="14"/>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23">
    <w:name w:val="标准文件_章标题"/>
    <w:next w:val="14"/>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4">
    <w:name w:val="标准文件_一级条标题"/>
    <w:basedOn w:val="23"/>
    <w:next w:val="14"/>
    <w:qFormat/>
    <w:uiPriority w:val="0"/>
    <w:pPr>
      <w:numPr>
        <w:ilvl w:val="2"/>
      </w:numPr>
      <w:spacing w:beforeLines="50" w:afterLines="50"/>
      <w:outlineLvl w:val="1"/>
    </w:pPr>
  </w:style>
  <w:style w:type="paragraph" w:customStyle="1" w:styleId="25">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6">
    <w:name w:val="标准文件_二级无标题"/>
    <w:basedOn w:val="19"/>
    <w:qFormat/>
    <w:uiPriority w:val="0"/>
    <w:pPr>
      <w:spacing w:beforeLines="0" w:afterLines="0"/>
      <w:outlineLvl w:val="9"/>
    </w:pPr>
    <w:rPr>
      <w:rFonts w:ascii="宋体" w:eastAsia="宋体"/>
    </w:rPr>
  </w:style>
  <w:style w:type="character" w:customStyle="1" w:styleId="27">
    <w:name w:val="段 Char"/>
    <w:link w:val="28"/>
    <w:qFormat/>
    <w:uiPriority w:val="0"/>
    <w:rPr>
      <w:rFonts w:ascii="宋体"/>
      <w:sz w:val="21"/>
    </w:rPr>
  </w:style>
  <w:style w:type="paragraph" w:customStyle="1" w:styleId="28">
    <w:name w:val="段"/>
    <w:link w:val="27"/>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29">
    <w:name w:val="一级条标题"/>
    <w:next w:val="28"/>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0">
    <w:name w:val="章标题"/>
    <w:next w:val="28"/>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31">
    <w:name w:val="二级条标题"/>
    <w:basedOn w:val="29"/>
    <w:next w:val="28"/>
    <w:qFormat/>
    <w:uiPriority w:val="0"/>
    <w:pPr>
      <w:numPr>
        <w:ilvl w:val="2"/>
      </w:numPr>
      <w:spacing w:before="50" w:after="50"/>
      <w:outlineLvl w:val="3"/>
    </w:pPr>
  </w:style>
  <w:style w:type="paragraph" w:customStyle="1" w:styleId="32">
    <w:name w:val="三级条标题"/>
    <w:basedOn w:val="31"/>
    <w:next w:val="28"/>
    <w:qFormat/>
    <w:uiPriority w:val="0"/>
    <w:pPr>
      <w:numPr>
        <w:ilvl w:val="3"/>
      </w:numPr>
      <w:outlineLvl w:val="4"/>
    </w:pPr>
  </w:style>
  <w:style w:type="paragraph" w:customStyle="1" w:styleId="33">
    <w:name w:val="四级条标题"/>
    <w:basedOn w:val="32"/>
    <w:next w:val="28"/>
    <w:qFormat/>
    <w:uiPriority w:val="0"/>
    <w:pPr>
      <w:numPr>
        <w:ilvl w:val="4"/>
      </w:numPr>
      <w:outlineLvl w:val="5"/>
    </w:pPr>
  </w:style>
  <w:style w:type="paragraph" w:customStyle="1" w:styleId="34">
    <w:name w:val="五级条标题"/>
    <w:basedOn w:val="33"/>
    <w:next w:val="28"/>
    <w:qFormat/>
    <w:uiPriority w:val="0"/>
    <w:pPr>
      <w:numPr>
        <w:ilvl w:val="5"/>
      </w:numPr>
      <w:outlineLvl w:val="6"/>
    </w:pPr>
  </w:style>
  <w:style w:type="paragraph" w:customStyle="1" w:styleId="35">
    <w:name w:val="标准文件_术语条一"/>
    <w:basedOn w:val="1"/>
    <w:next w:val="14"/>
    <w:qFormat/>
    <w:uiPriority w:val="0"/>
    <w:pPr>
      <w:widowControl/>
      <w:numPr>
        <w:ilvl w:val="2"/>
        <w:numId w:val="3"/>
      </w:numPr>
    </w:pPr>
    <w:rPr>
      <w:rFonts w:ascii="宋体"/>
      <w:kern w:val="0"/>
      <w:szCs w:val="20"/>
    </w:rPr>
  </w:style>
  <w:style w:type="paragraph" w:customStyle="1" w:styleId="3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37">
    <w:name w:val="HTML 预设格式 字符"/>
    <w:basedOn w:val="10"/>
    <w:link w:val="6"/>
    <w:uiPriority w:val="99"/>
    <w:rPr>
      <w:rFonts w:ascii="宋体" w:hAnsi="宋体" w:cs="宋体"/>
      <w:sz w:val="24"/>
      <w:szCs w:val="24"/>
    </w:rPr>
  </w:style>
  <w:style w:type="paragraph" w:styleId="38">
    <w:name w:val="No Spacing"/>
    <w:qFormat/>
    <w:uiPriority w:val="1"/>
    <w:pPr>
      <w:adjustRightInd w:val="0"/>
      <w:snapToGrid w:val="0"/>
    </w:pPr>
    <w:rPr>
      <w:rFonts w:ascii="Tahoma" w:hAnsi="Tahoma" w:eastAsia="微软雅黑" w:cs="Times New Roman"/>
      <w:sz w:val="22"/>
      <w:szCs w:val="22"/>
      <w:lang w:val="en-US" w:eastAsia="zh-CN" w:bidi="ar-SA"/>
    </w:rPr>
  </w:style>
  <w:style w:type="paragraph" w:customStyle="1" w:styleId="39">
    <w:name w:val="标准文件_正文表标题"/>
    <w:next w:val="1"/>
    <w:uiPriority w:val="0"/>
    <w:pPr>
      <w:numPr>
        <w:ilvl w:val="0"/>
        <w:numId w:val="4"/>
      </w:numPr>
      <w:tabs>
        <w:tab w:val="left" w:pos="0"/>
      </w:tabs>
      <w:spacing w:before="50" w:beforeLines="50" w:after="50" w:afterLines="50"/>
      <w:ind w:left="0"/>
      <w:jc w:val="center"/>
    </w:pPr>
    <w:rPr>
      <w:rFonts w:ascii="黑体" w:hAnsi="Times New Roman" w:eastAsia="黑体" w:cs="Times New Roman"/>
      <w:sz w:val="21"/>
      <w:lang w:val="en-US" w:eastAsia="zh-CN" w:bidi="ar-SA"/>
    </w:rPr>
  </w:style>
  <w:style w:type="paragraph" w:customStyle="1" w:styleId="40">
    <w:name w:val="标准文件_表格"/>
    <w:basedOn w:val="1"/>
    <w:qFormat/>
    <w:uiPriority w:val="0"/>
    <w:pPr>
      <w:widowControl/>
      <w:autoSpaceDE w:val="0"/>
      <w:autoSpaceDN w:val="0"/>
      <w:jc w:val="center"/>
    </w:pPr>
    <w:rPr>
      <w:rFonts w:ascii="宋体"/>
      <w:kern w:val="0"/>
      <w:sz w:val="18"/>
      <w:szCs w:val="20"/>
    </w:rPr>
  </w:style>
  <w:style w:type="table" w:customStyle="1" w:styleId="41">
    <w:name w:val="网格型1"/>
    <w:basedOn w:val="8"/>
    <w:qFormat/>
    <w:uiPriority w:val="59"/>
    <w:rPr>
      <w:rFonts w:ascii="等线" w:hAnsi="等线" w:eastAsia="等线"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
    <w:name w:val="网格型2"/>
    <w:basedOn w:val="8"/>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5A148-7226-463E-9B2A-B29814DE92E7}">
  <ds:schemaRefs/>
</ds:datastoreItem>
</file>

<file path=docProps/app.xml><?xml version="1.0" encoding="utf-8"?>
<Properties xmlns="http://schemas.openxmlformats.org/officeDocument/2006/extended-properties" xmlns:vt="http://schemas.openxmlformats.org/officeDocument/2006/docPropsVTypes">
  <Template>Normal</Template>
  <Pages>14</Pages>
  <Words>6606</Words>
  <Characters>7966</Characters>
  <Lines>16</Lines>
  <Paragraphs>17</Paragraphs>
  <TotalTime>96</TotalTime>
  <ScaleCrop>false</ScaleCrop>
  <LinksUpToDate>false</LinksUpToDate>
  <CharactersWithSpaces>8083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2022-09-15T00:21:00Z</dcterms:created>
  <dc:creator>Administrator</dc:creator>
  <cp:lastModifiedBy>Crazy——林仔</cp:lastModifiedBy>
  <dcterms:modified xsi:type="dcterms:W3CDTF">2022-09-28T01:06:05Z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A666073200BE44999EDDB0742E2B0257</vt:lpwstr>
  </property>
</Properties>
</file>